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2A4A" w:val="clear"/>
            <w:tcMar>
              <w:top w:type="dxa" w:w="720"/>
              <w:left w:type="dxa" w:w="480"/>
              <w:bottom w:type="dxa" w:w="720"/>
              <w:right w:type="dxa" w:w="480"/>
            </w:tcMar>
          </w:tcPr>
          <w:p>
            <w:pPr>
              <w:spacing w:after="80"/>
              <w:jc w:val="left"/>
            </w:pPr>
            <w:r>
              <w:rPr>
                <w:rFonts w:ascii="Arial" w:cs="Arial" w:eastAsia="Arial" w:hAnsi="Arial"/>
                <w:b/>
                <w:bCs/>
                <w:color w:val="FFFFFF"/>
                <w:sz w:val="52"/>
                <w:szCs w:val="52"/>
              </w:rPr>
              <w:t xml:space="preserve">ANTI-MONEY LAUNDERING</w:t>
            </w:r>
          </w:p>
          <w:p>
            <w:pPr>
              <w:spacing w:after="80"/>
              <w:jc w:val="left"/>
            </w:pPr>
            <w:r>
              <w:rPr>
                <w:rFonts w:ascii="Arial" w:cs="Arial" w:eastAsia="Arial" w:hAnsi="Arial"/>
                <w:b/>
                <w:bCs/>
                <w:color w:val="FFFFFF"/>
                <w:sz w:val="52"/>
                <w:szCs w:val="52"/>
              </w:rPr>
              <w:t xml:space="preserve">COMPLIANCE PROGRAM</w:t>
            </w:r>
          </w:p>
          <w:p>
            <w:pPr>
              <w:spacing w:after="120"/>
            </w:pPr>
            <w:r>
              <w:t xml:space="preserve"/>
            </w:r>
          </w:p>
          <w:p>
            <w:pPr>
              <w:spacing w:after="80"/>
            </w:pPr>
            <w:r>
              <w:rPr>
                <w:rFonts w:ascii="Arial" w:cs="Arial" w:eastAsia="Arial" w:hAnsi="Arial"/>
                <w:color w:val="C8860A"/>
                <w:sz w:val="18"/>
                <w:szCs w:val="18"/>
              </w:rPr>
              <w:t xml:space="preserve">─────────────────────────────────</w:t>
            </w:r>
          </w:p>
          <w:p>
            <w:pPr>
              <w:spacing w:after="40"/>
            </w:pPr>
            <w:r>
              <w:t xml:space="preserve"/>
            </w:r>
          </w:p>
          <w:p>
            <w:pPr>
              <w:spacing w:after="60"/>
              <w:jc w:val="left"/>
            </w:pPr>
            <w:r>
              <w:rPr>
                <w:rFonts w:ascii="Arial" w:cs="Arial" w:eastAsia="Arial" w:hAnsi="Arial"/>
                <w:b w:val="false"/>
                <w:bCs w:val="false"/>
                <w:color w:val="D4B896"/>
                <w:sz w:val="26"/>
                <w:szCs w:val="26"/>
              </w:rPr>
              <w:t xml:space="preserve">F33D3R, Inc.</w:t>
            </w:r>
          </w:p>
          <w:p>
            <w:pPr>
              <w:spacing w:after="60"/>
              <w:jc w:val="left"/>
            </w:pPr>
            <w:r>
              <w:rPr>
                <w:rFonts w:ascii="Arial" w:cs="Arial" w:eastAsia="Arial" w:hAnsi="Arial"/>
                <w:b w:val="false"/>
                <w:bCs w:val="false"/>
                <w:color w:val="D4B896"/>
                <w:sz w:val="26"/>
                <w:szCs w:val="26"/>
              </w:rPr>
              <w:t xml:space="preserve">f33d3r.com | Maricopa County, Arizona</w:t>
            </w:r>
          </w:p>
          <w:p>
            <w:pPr>
              <w:spacing w:after="80"/>
            </w:pPr>
            <w:r>
              <w:t xml:space="preserve"/>
            </w:r>
          </w:p>
          <w:p>
            <w:pPr>
              <w:spacing w:after="40"/>
              <w:jc w:val="left"/>
            </w:pPr>
            <w:r>
              <w:rPr>
                <w:rFonts w:ascii="Arial" w:cs="Arial" w:eastAsia="Arial" w:hAnsi="Arial"/>
                <w:color w:val="AABBD0"/>
                <w:sz w:val="20"/>
                <w:szCs w:val="20"/>
              </w:rPr>
              <w:t xml:space="preserve">Prepared pursuant to the Bank Secrecy Act, 31 U.S.C. § 5318(h)</w:t>
            </w:r>
          </w:p>
          <w:p>
            <w:pPr>
              <w:spacing w:after="40"/>
              <w:jc w:val="left"/>
            </w:pPr>
            <w:r>
              <w:rPr>
                <w:rFonts w:ascii="Arial" w:cs="Arial" w:eastAsia="Arial" w:hAnsi="Arial"/>
                <w:color w:val="AABBD0"/>
                <w:sz w:val="20"/>
                <w:szCs w:val="20"/>
              </w:rPr>
              <w:t xml:space="preserve">FinCEN Guidance FIN-2014 Series | ARS § 6-1201 et seq.</w:t>
            </w:r>
          </w:p>
          <w:p>
            <w:pPr>
              <w:spacing w:after="40"/>
              <w:jc w:val="left"/>
            </w:pPr>
            <w:r>
              <w:rPr>
                <w:rFonts w:ascii="Arial" w:cs="Arial" w:eastAsia="Arial" w:hAnsi="Arial"/>
                <w:color w:val="AABBD0"/>
                <w:sz w:val="20"/>
                <w:szCs w:val="20"/>
              </w:rPr>
              <w:t xml:space="preserve">Submitted in connection with: Plaid Transfer Application</w:t>
            </w:r>
          </w:p>
          <w:p>
            <w:pPr>
              <w:spacing w:after="80"/>
            </w:pPr>
            <w:r>
              <w:t xml:space="preserve"/>
            </w:r>
          </w:p>
          <w:p>
            <w:pPr>
              <w:spacing w:after="40"/>
              <w:jc w:val="left"/>
            </w:pPr>
            <w:r>
              <w:rPr>
                <w:rFonts w:ascii="Arial" w:cs="Arial" w:eastAsia="Arial" w:hAnsi="Arial"/>
                <w:color w:val="AABBD0"/>
                <w:sz w:val="20"/>
                <w:szCs w:val="20"/>
              </w:rPr>
              <w:t xml:space="preserve">Policy Version: 1.0</w:t>
            </w:r>
          </w:p>
          <w:p>
            <w:pPr>
              <w:spacing w:after="40"/>
              <w:jc w:val="left"/>
            </w:pPr>
            <w:r>
              <w:rPr>
                <w:rFonts w:ascii="Arial" w:cs="Arial" w:eastAsia="Arial" w:hAnsi="Arial"/>
                <w:color w:val="AABBD0"/>
                <w:sz w:val="20"/>
                <w:szCs w:val="20"/>
              </w:rPr>
              <w:t xml:space="preserve">Effective Date: May 12, 2026</w:t>
            </w:r>
          </w:p>
          <w:p>
            <w:pPr>
              <w:spacing w:after="40"/>
              <w:jc w:val="left"/>
            </w:pPr>
            <w:r>
              <w:rPr>
                <w:rFonts w:ascii="Arial" w:cs="Arial" w:eastAsia="Arial" w:hAnsi="Arial"/>
                <w:color w:val="AABBD0"/>
                <w:sz w:val="20"/>
                <w:szCs w:val="20"/>
              </w:rPr>
              <w:t xml:space="preserve">Next Review Date: May 12, 2027</w:t>
            </w:r>
          </w:p>
          <w:p>
            <w:pPr>
              <w:spacing w:after="40"/>
              <w:jc w:val="left"/>
            </w:pPr>
            <w:r>
              <w:rPr>
                <w:rFonts w:ascii="Arial" w:cs="Arial" w:eastAsia="Arial" w:hAnsi="Arial"/>
                <w:color w:val="AABBD0"/>
                <w:sz w:val="20"/>
                <w:szCs w:val="20"/>
              </w:rPr>
              <w:t xml:space="preserve">Document Classification: CONFIDENTIAL</w:t>
            </w:r>
          </w:p>
        </w:tc>
      </w:tr>
    </w:tbl>
    <w:p>
      <w:pPr>
        <w:spacing w:after="2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20"/>
                <w:szCs w:val="20"/>
              </w:rPr>
              <w:t xml:space="preserve">Compliance Officer</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20"/>
                <w:szCs w:val="20"/>
              </w:rPr>
              <w:t xml:space="preserve">[To Be Designated — See Section III]</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20"/>
                <w:szCs w:val="20"/>
              </w:rPr>
              <w:t xml:space="preserve">Business Type</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20"/>
                <w:szCs w:val="20"/>
              </w:rPr>
              <w:t xml:space="preserve">Online Content Platform — Creator Tip Facilitation</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20"/>
                <w:szCs w:val="20"/>
              </w:rPr>
              <w:t xml:space="preserve">Federal Registration</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20"/>
                <w:szCs w:val="20"/>
              </w:rPr>
              <w:t xml:space="preserve">FinCEN Form 107 — MSB Registration (Pending)</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20"/>
                <w:szCs w:val="20"/>
              </w:rPr>
              <w:t xml:space="preserve">State Jurisdiction</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20"/>
                <w:szCs w:val="20"/>
              </w:rPr>
              <w:t xml:space="preserve">Arizona — DIFI Oversight (A.R.S. § 6-1201)</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20"/>
                <w:szCs w:val="20"/>
              </w:rPr>
              <w:t xml:space="preserve">Plaid Role</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20"/>
                <w:szCs w:val="20"/>
              </w:rPr>
              <w:t xml:space="preserve">Platform (not Originator) per Plaid Transfer taxonomy</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20"/>
                <w:szCs w:val="20"/>
              </w:rPr>
              <w:t xml:space="preserve">Primary Payment Rails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20"/>
                <w:szCs w:val="20"/>
              </w:rPr>
              <w:t xml:space="preserve">ACH (PPD), Same-Day ACH, RTP / FedNow</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20"/>
                <w:szCs w:val="20"/>
              </w:rPr>
              <w:t xml:space="preserve">Board Approval Date</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20"/>
                <w:szCs w:val="20"/>
              </w:rPr>
              <w:t xml:space="preserve">[Date of Board Adoption]</w:t>
            </w:r>
          </w:p>
        </w:tc>
      </w:tr>
    </w:tbl>
    <w:p>
      <w:pPr>
        <w:pageBreakBefore/>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2A4A" w:val="clear"/>
            <w:tcMar>
              <w:top w:type="dxa" w:w="120"/>
              <w:left w:type="dxa" w:w="240"/>
              <w:bottom w:type="dxa" w:w="120"/>
              <w:right w:type="dxa" w:w="240"/>
            </w:tcMar>
          </w:tcPr>
          <w:p>
            <w:r>
              <w:rPr>
                <w:rFonts w:ascii="Arial" w:cs="Arial" w:eastAsia="Arial" w:hAnsi="Arial"/>
                <w:b/>
                <w:bCs/>
                <w:color w:val="FFFFFF"/>
                <w:sz w:val="26"/>
                <w:szCs w:val="26"/>
              </w:rPr>
              <w:t xml:space="preserve">SECTION I — PURPOSE, SCOPE &amp; REGULATORY FRAMEWORK</w:t>
            </w:r>
          </w:p>
        </w:tc>
      </w:tr>
    </w:tbl>
    <w:p>
      <w:pPr>
        <w:spacing w:after="120"/>
      </w:pPr>
      <w:r>
        <w:t xml:space="preserve"/>
      </w:r>
    </w:p>
    <w:p>
      <w:pPr>
        <w:pStyle w:val="Heading2"/>
        <w:spacing w:after="120" w:before="240"/>
      </w:pPr>
      <w:r>
        <w:rPr>
          <w:rFonts w:ascii="Arial" w:cs="Arial" w:eastAsia="Arial" w:hAnsi="Arial"/>
          <w:b/>
          <w:bCs/>
          <w:color w:val="C8860A"/>
          <w:sz w:val="24"/>
          <w:szCs w:val="24"/>
        </w:rPr>
        <w:t xml:space="preserve">1.1  Purpose</w:t>
      </w:r>
    </w:p>
    <w:p>
      <w:pPr>
        <w:spacing w:after="160" w:before="0"/>
        <w:jc w:val="both"/>
      </w:pPr>
      <w:r>
        <w:rPr>
          <w:rFonts w:ascii="Arial" w:cs="Arial" w:eastAsia="Arial" w:hAnsi="Arial"/>
          <w:b w:val="false"/>
          <w:bCs w:val="false"/>
          <w:color w:val="222222"/>
          <w:sz w:val="21"/>
          <w:szCs w:val="21"/>
        </w:rPr>
        <w:t xml:space="preserve">F33D3R, Inc. ("Company", "F33D3R", or "we") has established this Anti-Money Laundering Compliance Program ("AML Program" or "Program") to satisfy its obligations under the Bank Secrecy Act (BSA), 31 U.S.C. §§ 5311–5336, and implementing regulations at 31 C.F.R. Part 1022, applicable to Money Services Businesses ("MSBs"). This Program is also designed to comply with applicable Arizona law under A.R.S. § 6-1201 et seq. (Transmitters of Money), FinCEN guidance on platform-based payment intermediaries, and the AML/CFT National Priorities published by FinCEN pursuant to the Anti-Money Laundering Act of 2020.</w:t>
      </w:r>
    </w:p>
    <w:p>
      <w:pPr>
        <w:spacing w:after="160" w:before="0"/>
        <w:jc w:val="both"/>
      </w:pPr>
      <w:r>
        <w:rPr>
          <w:rFonts w:ascii="Arial" w:cs="Arial" w:eastAsia="Arial" w:hAnsi="Arial"/>
          <w:b w:val="false"/>
          <w:bCs w:val="false"/>
          <w:color w:val="222222"/>
          <w:sz w:val="21"/>
          <w:szCs w:val="21"/>
        </w:rPr>
        <w:t xml:space="preserve">This Program applies to all officers, directors, employees, contractors, and authorized agents of F33D3R who engage in or support money transmission activities on the Platform.</w:t>
      </w:r>
    </w:p>
    <w:p>
      <w:pPr>
        <w:pStyle w:val="Heading2"/>
        <w:spacing w:after="120" w:before="240"/>
      </w:pPr>
      <w:r>
        <w:rPr>
          <w:rFonts w:ascii="Arial" w:cs="Arial" w:eastAsia="Arial" w:hAnsi="Arial"/>
          <w:b/>
          <w:bCs/>
          <w:color w:val="C8860A"/>
          <w:sz w:val="24"/>
          <w:szCs w:val="24"/>
        </w:rPr>
        <w:t xml:space="preserve">1.2  Business Overview &amp; Transaction Model</w:t>
      </w:r>
    </w:p>
    <w:p>
      <w:pPr>
        <w:spacing w:after="160" w:before="0"/>
        <w:jc w:val="both"/>
      </w:pPr>
      <w:r>
        <w:rPr>
          <w:rFonts w:ascii="Arial" w:cs="Arial" w:eastAsia="Arial" w:hAnsi="Arial"/>
          <w:b w:val="false"/>
          <w:bCs w:val="false"/>
          <w:color w:val="222222"/>
          <w:sz w:val="21"/>
          <w:szCs w:val="21"/>
        </w:rPr>
        <w:t xml:space="preserve">F33D3R operates f33d3r.com, an online content discovery and creator-support platform that enables registered users ("Supporters") to send voluntary, discretionary gratuities ("Tips") to content creators ("Creators"). F33D3R does not sell goods, subscriptions, or services. No product consideration is exchanged in any tip transaction. The tip is a wholly voluntary, unilateral gratuitous transfer.</w:t>
      </w:r>
    </w:p>
    <w:p>
      <w:pPr>
        <w:spacing w:after="160" w:before="0"/>
        <w:jc w:val="both"/>
      </w:pPr>
      <w:r>
        <w:rPr>
          <w:rFonts w:ascii="Arial" w:cs="Arial" w:eastAsia="Arial" w:hAnsi="Arial"/>
          <w:b w:val="false"/>
          <w:bCs w:val="false"/>
          <w:color w:val="222222"/>
          <w:sz w:val="21"/>
          <w:szCs w:val="21"/>
        </w:rPr>
        <w:t xml:space="preserve">F33D3R functions as a payment Platform — not a beneficial recipient — in the Plaid Transfer taxonomy. F33D3R intermediates fund movement between Supporters (payers) and Creators (payees), maintains a ledger during settlement windows, and disburses net tip amounts via ACH credit or real-time payment rails. This model is structurally analogous to tipping infrastructure operated by X Corp. (x.com), Twitch Interactive, Inc. (Amazon), Kick Streaming Ltd. (Stripe-processed), and Google LLC's YouTube Super Chat.</w:t>
      </w:r>
    </w:p>
    <w:p>
      <w:pPr>
        <w:pStyle w:val="Heading2"/>
        <w:spacing w:after="120" w:before="240"/>
      </w:pPr>
      <w:r>
        <w:rPr>
          <w:rFonts w:ascii="Arial" w:cs="Arial" w:eastAsia="Arial" w:hAnsi="Arial"/>
          <w:b/>
          <w:bCs/>
          <w:color w:val="C8860A"/>
          <w:sz w:val="24"/>
          <w:szCs w:val="24"/>
        </w:rPr>
        <w:t xml:space="preserve">1.3  Regulatory Framework</w:t>
      </w:r>
    </w:p>
    <w:p>
      <w:pPr>
        <w:spacing w:after="160" w:before="0"/>
        <w:jc w:val="both"/>
      </w:pPr>
      <w:r>
        <w:rPr>
          <w:rFonts w:ascii="Arial" w:cs="Arial" w:eastAsia="Arial" w:hAnsi="Arial"/>
          <w:b w:val="false"/>
          <w:bCs w:val="false"/>
          <w:color w:val="222222"/>
          <w:sz w:val="21"/>
          <w:szCs w:val="21"/>
        </w:rPr>
        <w:t xml:space="preserve">The following regulatory authorities govern this Program:</w:t>
      </w:r>
    </w:p>
    <w:p>
      <w:pPr>
        <w:pStyle w:val="ListParagraph"/>
        <w:numPr>
          <w:ilvl w:val="0"/>
          <w:numId w:val="2"/>
        </w:numPr>
        <w:spacing w:after="100"/>
      </w:pPr>
      <w:r>
        <w:rPr>
          <w:rFonts w:ascii="Arial" w:cs="Arial" w:eastAsia="Arial" w:hAnsi="Arial"/>
          <w:color w:val="222222"/>
          <w:sz w:val="21"/>
          <w:szCs w:val="21"/>
        </w:rPr>
        <w:t xml:space="preserve">FinCEN (U.S. Treasury) — BSA compliance, SAR/CTR filing, MSB registration (Form 107), and AML program requirements under 31 C.F.R. § 1022.210.</w:t>
      </w:r>
    </w:p>
    <w:p>
      <w:pPr>
        <w:pStyle w:val="ListParagraph"/>
        <w:numPr>
          <w:ilvl w:val="0"/>
          <w:numId w:val="2"/>
        </w:numPr>
        <w:spacing w:after="100"/>
      </w:pPr>
      <w:r>
        <w:rPr>
          <w:rFonts w:ascii="Arial" w:cs="Arial" w:eastAsia="Arial" w:hAnsi="Arial"/>
          <w:color w:val="222222"/>
          <w:sz w:val="21"/>
          <w:szCs w:val="21"/>
        </w:rPr>
        <w:t xml:space="preserve">Arizona Department of Insurance and Financial Institutions (DIFI) — Money transmitter licensing requirements under A.R.S. § 6-1202 and A.R.S. § 6-1207. F33D3R will consult qualified Arizona counsel to determine licensing obligations prior to production launch and will obtain any required license in advance of processing live transactions.</w:t>
      </w:r>
    </w:p>
    <w:p>
      <w:pPr>
        <w:pStyle w:val="ListParagraph"/>
        <w:numPr>
          <w:ilvl w:val="0"/>
          <w:numId w:val="2"/>
        </w:numPr>
        <w:spacing w:after="100"/>
      </w:pPr>
      <w:r>
        <w:rPr>
          <w:rFonts w:ascii="Arial" w:cs="Arial" w:eastAsia="Arial" w:hAnsi="Arial"/>
          <w:color w:val="222222"/>
          <w:sz w:val="21"/>
          <w:szCs w:val="21"/>
        </w:rPr>
        <w:t xml:space="preserve">OFAC (U.S. Treasury) — Sanctions compliance; prohibition on transactions with Specially Designated Nationals (SDNs) and sanctioned jurisdictions.</w:t>
      </w:r>
    </w:p>
    <w:p>
      <w:pPr>
        <w:pStyle w:val="ListParagraph"/>
        <w:numPr>
          <w:ilvl w:val="0"/>
          <w:numId w:val="2"/>
        </w:numPr>
        <w:spacing w:after="100"/>
      </w:pPr>
      <w:r>
        <w:rPr>
          <w:rFonts w:ascii="Arial" w:cs="Arial" w:eastAsia="Arial" w:hAnsi="Arial"/>
          <w:color w:val="222222"/>
          <w:sz w:val="21"/>
          <w:szCs w:val="21"/>
        </w:rPr>
        <w:t xml:space="preserve">IRS — 1099-K reporting obligations for Third-Party Settlement Organizations (TPSOs) under IRC § 6050W.</w:t>
      </w:r>
    </w:p>
    <w:p>
      <w:pPr>
        <w:pStyle w:val="ListParagraph"/>
        <w:numPr>
          <w:ilvl w:val="0"/>
          <w:numId w:val="2"/>
        </w:numPr>
        <w:spacing w:after="100"/>
      </w:pPr>
      <w:r>
        <w:rPr>
          <w:rFonts w:ascii="Arial" w:cs="Arial" w:eastAsia="Arial" w:hAnsi="Arial"/>
          <w:color w:val="222222"/>
          <w:sz w:val="21"/>
          <w:szCs w:val="21"/>
        </w:rPr>
        <w:t xml:space="preserve">NACHA — Operating Rules governing ACH transactions, including PPD authorization requirements and Proof of Authorization (POA) retention.</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single" w:color="CCCCCC" w:sz="1"/>
              <w:left w:val="single" w:color="CCCCCC" w:sz="1"/>
              <w:bottom w:val="single" w:color="CCCCCC" w:sz="1"/>
              <w:right w:val="single" w:color="CCCCCC" w:sz="1"/>
            </w:tcBorders>
            <w:shd w:fill="1B2A4A" w:val="clear"/>
            <w:tcMar>
              <w:top w:type="dxa" w:w="120"/>
              <w:left w:type="dxa" w:w="160"/>
              <w:bottom w:type="dxa" w:w="120"/>
              <w:right w:type="dxa" w:w="160"/>
            </w:tcMar>
            <w:vAlign w:val="center"/>
          </w:tcPr>
          <w:p>
            <w:pPr>
              <w:jc w:val="center"/>
            </w:pPr>
            <w:r>
              <w:rPr>
                <w:rFonts w:ascii="Arial" w:cs="Arial" w:eastAsia="Arial" w:hAnsi="Arial"/>
                <w:b/>
                <w:bCs/>
                <w:color w:val="FFFFFF"/>
                <w:sz w:val="18"/>
                <w:szCs w:val="18"/>
              </w:rPr>
              <w:t xml:space="preserve">KEY LEGAL NOTE</w:t>
            </w:r>
          </w:p>
        </w:tc>
        <w:tc>
          <w:tcPr>
            <w:tcW w:type="dxa" w:w="7920"/>
            <w:tcBorders>
              <w:top w:val="single" w:color="CCCCCC" w:sz="1"/>
              <w:left w:val="single" w:color="CCCCCC" w:sz="1"/>
              <w:bottom w:val="single" w:color="CCCCCC" w:sz="1"/>
              <w:right w:val="single" w:color="CCCCCC" w:sz="1"/>
            </w:tcBorders>
            <w:shd w:fill="F5F0E8" w:val="clear"/>
            <w:tcMar>
              <w:top w:type="dxa" w:w="120"/>
              <w:left w:type="dxa" w:w="160"/>
              <w:bottom w:type="dxa" w:w="120"/>
              <w:right w:type="dxa" w:w="160"/>
            </w:tcMar>
          </w:tcPr>
          <w:p>
            <w:pPr>
              <w:jc w:val="both"/>
            </w:pPr>
            <w:r>
              <w:rPr>
                <w:rFonts w:ascii="Arial" w:cs="Arial" w:eastAsia="Arial" w:hAnsi="Arial"/>
                <w:color w:val="333333"/>
                <w:sz w:val="20"/>
                <w:szCs w:val="20"/>
              </w:rPr>
              <w:t xml:space="preserve">This Program constitutes F33D3R's written AML policy as required by 31 C.F.R. § 1022.210(b). It is reviewed and approved by senior management or the Board of Directors at least annually, and updated promptly upon material changes to the business, regulatory guidance, or risk profile.</w:t>
            </w:r>
          </w:p>
        </w:tc>
      </w:tr>
    </w:tbl>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2A4A" w:val="clear"/>
            <w:tcMar>
              <w:top w:type="dxa" w:w="120"/>
              <w:left w:type="dxa" w:w="240"/>
              <w:bottom w:type="dxa" w:w="120"/>
              <w:right w:type="dxa" w:w="240"/>
            </w:tcMar>
          </w:tcPr>
          <w:p>
            <w:r>
              <w:rPr>
                <w:rFonts w:ascii="Arial" w:cs="Arial" w:eastAsia="Arial" w:hAnsi="Arial"/>
                <w:b/>
                <w:bCs/>
                <w:color w:val="FFFFFF"/>
                <w:sz w:val="26"/>
                <w:szCs w:val="26"/>
              </w:rPr>
              <w:t xml:space="preserve">SECTION II — THE FOUR PILLARS OF THE AML PROGRAM</w:t>
            </w:r>
          </w:p>
        </w:tc>
      </w:tr>
    </w:tbl>
    <w:p>
      <w:pPr>
        <w:spacing w:after="120"/>
      </w:pPr>
      <w:r>
        <w:t xml:space="preserve"/>
      </w:r>
    </w:p>
    <w:p>
      <w:pPr>
        <w:pStyle w:val="Heading2"/>
        <w:spacing w:after="120" w:before="240"/>
      </w:pPr>
      <w:r>
        <w:rPr>
          <w:rFonts w:ascii="Arial" w:cs="Arial" w:eastAsia="Arial" w:hAnsi="Arial"/>
          <w:b/>
          <w:bCs/>
          <w:color w:val="C8860A"/>
          <w:sz w:val="24"/>
          <w:szCs w:val="24"/>
        </w:rPr>
        <w:t xml:space="preserve">PILLAR 1 — Internal Policies, Procedures &amp; Controls</w:t>
      </w:r>
    </w:p>
    <w:p>
      <w:pPr>
        <w:spacing w:after="100" w:before="200"/>
      </w:pPr>
      <w:r>
        <w:rPr>
          <w:rFonts w:ascii="Arial" w:cs="Arial" w:eastAsia="Arial" w:hAnsi="Arial"/>
          <w:b/>
          <w:bCs/>
          <w:color w:val="444444"/>
          <w:sz w:val="22"/>
          <w:szCs w:val="22"/>
        </w:rPr>
        <w:t xml:space="preserve">2.1  Customer Identification Program (CIP)</w:t>
      </w:r>
    </w:p>
    <w:p>
      <w:pPr>
        <w:spacing w:after="160" w:before="0"/>
        <w:jc w:val="both"/>
      </w:pPr>
      <w:r>
        <w:rPr>
          <w:rFonts w:ascii="Arial" w:cs="Arial" w:eastAsia="Arial" w:hAnsi="Arial"/>
          <w:b w:val="false"/>
          <w:bCs w:val="false"/>
          <w:color w:val="222222"/>
          <w:sz w:val="21"/>
          <w:szCs w:val="21"/>
        </w:rPr>
        <w:t xml:space="preserve">F33D3R maintains a risk-tiered Customer Identification Program for two distinct user classes: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20"/>
                <w:szCs w:val="20"/>
              </w:rPr>
              <w:t xml:space="preserve">User Class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20"/>
                <w:szCs w:val="20"/>
              </w:rPr>
              <w:t xml:space="preserve">CIP Requirements</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20"/>
                <w:szCs w:val="20"/>
              </w:rPr>
              <w:t xml:space="preserve">Supporters (Payers)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20"/>
                <w:szCs w:val="20"/>
              </w:rPr>
              <w:t xml:space="preserve">Name, email, linked bank account verification via Plaid Link. Identity verification (Plaid IDV or equivalent) for accounts exceeding $3,000 aggregate tips sent per calendar year.</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20"/>
                <w:szCs w:val="20"/>
              </w:rPr>
              <w:t xml:space="preserve">Creators (Payees)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20"/>
                <w:szCs w:val="20"/>
              </w:rPr>
              <w:t xml:space="preserve">Full CIP required prior to first disbursement: legal name, date of birth, residential address, SSN or EIN (for IRS 1099-K), government-issued ID verification, and OFAC/SDN screening. Enhanced Due Diligence (EDD) for Creators in elevated-risk categories.</w:t>
            </w:r>
          </w:p>
        </w:tc>
      </w:tr>
    </w:tbl>
    <w:p>
      <w:pPr>
        <w:spacing w:after="120"/>
      </w:pPr>
      <w:r>
        <w:t xml:space="preserve"/>
      </w:r>
    </w:p>
    <w:p>
      <w:pPr>
        <w:spacing w:after="100" w:before="200"/>
      </w:pPr>
      <w:r>
        <w:rPr>
          <w:rFonts w:ascii="Arial" w:cs="Arial" w:eastAsia="Arial" w:hAnsi="Arial"/>
          <w:b/>
          <w:bCs/>
          <w:color w:val="444444"/>
          <w:sz w:val="22"/>
          <w:szCs w:val="22"/>
        </w:rPr>
        <w:t xml:space="preserve">2.2  Know Your Customer (KYC) — Ongoing</w:t>
      </w:r>
    </w:p>
    <w:p>
      <w:pPr>
        <w:spacing w:after="160" w:before="0"/>
        <w:jc w:val="both"/>
      </w:pPr>
      <w:r>
        <w:rPr>
          <w:rFonts w:ascii="Arial" w:cs="Arial" w:eastAsia="Arial" w:hAnsi="Arial"/>
          <w:b w:val="false"/>
          <w:bCs w:val="false"/>
          <w:color w:val="222222"/>
          <w:sz w:val="21"/>
          <w:szCs w:val="21"/>
        </w:rPr>
        <w:t xml:space="preserve">KYC is not a one-time onboarding event. F33D3R maintains ongoing monitoring of user behavior, including:</w:t>
      </w:r>
    </w:p>
    <w:p>
      <w:pPr>
        <w:pStyle w:val="ListParagraph"/>
        <w:numPr>
          <w:ilvl w:val="0"/>
          <w:numId w:val="2"/>
        </w:numPr>
        <w:spacing w:after="100"/>
      </w:pPr>
      <w:r>
        <w:rPr>
          <w:rFonts w:ascii="Arial" w:cs="Arial" w:eastAsia="Arial" w:hAnsi="Arial"/>
          <w:color w:val="222222"/>
          <w:sz w:val="21"/>
          <w:szCs w:val="21"/>
        </w:rPr>
        <w:t xml:space="preserve">Periodic re-verification of Creator identity upon significant account changes (name, bank account, address, payment thresholds).</w:t>
      </w:r>
    </w:p>
    <w:p>
      <w:pPr>
        <w:pStyle w:val="ListParagraph"/>
        <w:numPr>
          <w:ilvl w:val="0"/>
          <w:numId w:val="2"/>
        </w:numPr>
        <w:spacing w:after="100"/>
      </w:pPr>
      <w:r>
        <w:rPr>
          <w:rFonts w:ascii="Arial" w:cs="Arial" w:eastAsia="Arial" w:hAnsi="Arial"/>
          <w:color w:val="222222"/>
          <w:sz w:val="21"/>
          <w:szCs w:val="21"/>
        </w:rPr>
        <w:t xml:space="preserve">Automated transaction monitoring for patterns inconsistent with a user's stated profile or historical activity.</w:t>
      </w:r>
    </w:p>
    <w:p>
      <w:pPr>
        <w:pStyle w:val="ListParagraph"/>
        <w:numPr>
          <w:ilvl w:val="0"/>
          <w:numId w:val="2"/>
        </w:numPr>
        <w:spacing w:after="100"/>
      </w:pPr>
      <w:r>
        <w:rPr>
          <w:rFonts w:ascii="Arial" w:cs="Arial" w:eastAsia="Arial" w:hAnsi="Arial"/>
          <w:color w:val="222222"/>
          <w:sz w:val="21"/>
          <w:szCs w:val="21"/>
        </w:rPr>
        <w:t xml:space="preserve">Annual review of high-volume Creator accounts exceeding $20,000 in aggregate annual disbursements.</w:t>
      </w:r>
    </w:p>
    <w:p>
      <w:pPr>
        <w:spacing w:after="100" w:before="200"/>
      </w:pPr>
      <w:r>
        <w:rPr>
          <w:rFonts w:ascii="Arial" w:cs="Arial" w:eastAsia="Arial" w:hAnsi="Arial"/>
          <w:b/>
          <w:bCs/>
          <w:color w:val="444444"/>
          <w:sz w:val="22"/>
          <w:szCs w:val="22"/>
        </w:rPr>
        <w:t xml:space="preserve">2.3  OFAC Screening</w:t>
      </w:r>
    </w:p>
    <w:p>
      <w:pPr>
        <w:spacing w:after="160" w:before="0"/>
        <w:jc w:val="both"/>
      </w:pPr>
      <w:r>
        <w:rPr>
          <w:rFonts w:ascii="Arial" w:cs="Arial" w:eastAsia="Arial" w:hAnsi="Arial"/>
          <w:b w:val="false"/>
          <w:bCs w:val="false"/>
          <w:color w:val="222222"/>
          <w:sz w:val="21"/>
          <w:szCs w:val="21"/>
        </w:rPr>
        <w:t xml:space="preserve">All Supporters and Creators are screened against the OFAC Specially Designated Nationals (SDN) list, Consolidated Sanctions List, and applicable country-based sanctions programs at onboarding and on a continuous basis via automated screening tools. Any potential match triggers an immediate account freeze, escalation to the Compliance Officer, and, where required, blocking/rejection of the transaction with notification to OFAC per 31 C.F.R. Part 501.</w:t>
      </w:r>
    </w:p>
    <w:p>
      <w:pPr>
        <w:spacing w:after="100" w:before="200"/>
      </w:pPr>
      <w:r>
        <w:rPr>
          <w:rFonts w:ascii="Arial" w:cs="Arial" w:eastAsia="Arial" w:hAnsi="Arial"/>
          <w:b/>
          <w:bCs/>
          <w:color w:val="444444"/>
          <w:sz w:val="22"/>
          <w:szCs w:val="22"/>
        </w:rPr>
        <w:t xml:space="preserve">2.4  Transaction Monitoring</w:t>
      </w:r>
    </w:p>
    <w:p>
      <w:pPr>
        <w:spacing w:after="160" w:before="0"/>
        <w:jc w:val="both"/>
      </w:pPr>
      <w:r>
        <w:rPr>
          <w:rFonts w:ascii="Arial" w:cs="Arial" w:eastAsia="Arial" w:hAnsi="Arial"/>
          <w:b w:val="false"/>
          <w:bCs w:val="false"/>
          <w:color w:val="222222"/>
          <w:sz w:val="21"/>
          <w:szCs w:val="21"/>
        </w:rPr>
        <w:t xml:space="preserve">F33D3R implements automated transaction monitoring calibrated to the risk profile of a voluntary gratuity platform. The following thresholds and patterns trigger enhanced review or automated holds:</w:t>
      </w:r>
    </w:p>
    <w:p>
      <w:pPr>
        <w:pStyle w:val="ListParagraph"/>
        <w:numPr>
          <w:ilvl w:val="0"/>
          <w:numId w:val="2"/>
        </w:numPr>
        <w:spacing w:after="100"/>
      </w:pPr>
      <w:r>
        <w:rPr>
          <w:rFonts w:ascii="Arial" w:cs="Arial" w:eastAsia="Arial" w:hAnsi="Arial"/>
          <w:color w:val="222222"/>
          <w:sz w:val="21"/>
          <w:szCs w:val="21"/>
        </w:rPr>
        <w:t xml:space="preserve">Aggregate tips received by a single Creator exceeding $10,000 within a 30-day rolling window — automatic enhanced review flag.</w:t>
      </w:r>
    </w:p>
    <w:p>
      <w:pPr>
        <w:pStyle w:val="ListParagraph"/>
        <w:numPr>
          <w:ilvl w:val="0"/>
          <w:numId w:val="2"/>
        </w:numPr>
        <w:spacing w:after="100"/>
      </w:pPr>
      <w:r>
        <w:rPr>
          <w:rFonts w:ascii="Arial" w:cs="Arial" w:eastAsia="Arial" w:hAnsi="Arial"/>
          <w:color w:val="222222"/>
          <w:sz w:val="21"/>
          <w:szCs w:val="21"/>
        </w:rPr>
        <w:t xml:space="preserve">Multiple Supporter accounts sending tips to the same Creator from the same IP address, device fingerprint, or linked bank account — structuring indicator, escalate to Compliance Officer.</w:t>
      </w:r>
    </w:p>
    <w:p>
      <w:pPr>
        <w:pStyle w:val="ListParagraph"/>
        <w:numPr>
          <w:ilvl w:val="0"/>
          <w:numId w:val="2"/>
        </w:numPr>
        <w:spacing w:after="100"/>
      </w:pPr>
      <w:r>
        <w:rPr>
          <w:rFonts w:ascii="Arial" w:cs="Arial" w:eastAsia="Arial" w:hAnsi="Arial"/>
          <w:color w:val="222222"/>
          <w:sz w:val="21"/>
          <w:szCs w:val="21"/>
        </w:rPr>
        <w:t xml:space="preserve">Any single tip transaction of $3,000 or more — manual review required prior to disbursement.</w:t>
      </w:r>
    </w:p>
    <w:p>
      <w:pPr>
        <w:pStyle w:val="ListParagraph"/>
        <w:numPr>
          <w:ilvl w:val="0"/>
          <w:numId w:val="2"/>
        </w:numPr>
        <w:spacing w:after="100"/>
      </w:pPr>
      <w:r>
        <w:rPr>
          <w:rFonts w:ascii="Arial" w:cs="Arial" w:eastAsia="Arial" w:hAnsi="Arial"/>
          <w:color w:val="222222"/>
          <w:sz w:val="21"/>
          <w:szCs w:val="21"/>
        </w:rPr>
        <w:t xml:space="preserve">Rapid cycling: funds deposited and immediately withdrawn with no content engagement history — potential money movement indicator.</w:t>
      </w:r>
    </w:p>
    <w:p>
      <w:pPr>
        <w:pStyle w:val="ListParagraph"/>
        <w:numPr>
          <w:ilvl w:val="0"/>
          <w:numId w:val="2"/>
        </w:numPr>
        <w:spacing w:after="100"/>
      </w:pPr>
      <w:r>
        <w:rPr>
          <w:rFonts w:ascii="Arial" w:cs="Arial" w:eastAsia="Arial" w:hAnsi="Arial"/>
          <w:color w:val="222222"/>
          <w:sz w:val="21"/>
          <w:szCs w:val="21"/>
        </w:rPr>
        <w:t xml:space="preserve">Unusual geographic patterns: U.S.-based account with consistent tip activity originating from OFAC-sanctioned or FATF-identified high-risk jurisdictions.</w:t>
      </w:r>
    </w:p>
    <w:p>
      <w:pPr>
        <w:pStyle w:val="ListParagraph"/>
        <w:numPr>
          <w:ilvl w:val="0"/>
          <w:numId w:val="2"/>
        </w:numPr>
        <w:spacing w:after="100"/>
      </w:pPr>
      <w:r>
        <w:rPr>
          <w:rFonts w:ascii="Arial" w:cs="Arial" w:eastAsia="Arial" w:hAnsi="Arial"/>
          <w:color w:val="222222"/>
          <w:sz w:val="21"/>
          <w:szCs w:val="21"/>
        </w:rPr>
        <w:t xml:space="preserve">Tip velocity anomalies: account dormant for 30+ days that suddenly sends or receives high-volume tip activity.</w:t>
      </w:r>
    </w:p>
    <w:p>
      <w:pPr>
        <w:spacing w:after="100" w:before="200"/>
      </w:pPr>
      <w:r>
        <w:rPr>
          <w:rFonts w:ascii="Arial" w:cs="Arial" w:eastAsia="Arial" w:hAnsi="Arial"/>
          <w:b/>
          <w:bCs/>
          <w:color w:val="444444"/>
          <w:sz w:val="22"/>
          <w:szCs w:val="22"/>
        </w:rPr>
        <w:t xml:space="preserve">2.5  Recordkeeping</w:t>
      </w:r>
    </w:p>
    <w:p>
      <w:pPr>
        <w:spacing w:after="160" w:before="0"/>
        <w:jc w:val="both"/>
      </w:pPr>
      <w:r>
        <w:rPr>
          <w:rFonts w:ascii="Arial" w:cs="Arial" w:eastAsia="Arial" w:hAnsi="Arial"/>
          <w:b w:val="false"/>
          <w:bCs w:val="false"/>
          <w:color w:val="222222"/>
          <w:sz w:val="21"/>
          <w:szCs w:val="21"/>
        </w:rPr>
        <w:t xml:space="preserve">F33D3R maintains the following records for the minimum periods required by law:</w:t>
      </w:r>
    </w:p>
    <w:p>
      <w:pPr>
        <w:pStyle w:val="ListParagraph"/>
        <w:numPr>
          <w:ilvl w:val="0"/>
          <w:numId w:val="2"/>
        </w:numPr>
        <w:spacing w:after="100"/>
      </w:pPr>
      <w:r>
        <w:rPr>
          <w:rFonts w:ascii="Arial" w:cs="Arial" w:eastAsia="Arial" w:hAnsi="Arial"/>
          <w:color w:val="222222"/>
          <w:sz w:val="21"/>
          <w:szCs w:val="21"/>
        </w:rPr>
        <w:t xml:space="preserve">All KYC/CIP records: minimum five (5) years from account closure or last transaction, whichever is later (31 C.F.R. § 1010.430).</w:t>
      </w:r>
    </w:p>
    <w:p>
      <w:pPr>
        <w:pStyle w:val="ListParagraph"/>
        <w:numPr>
          <w:ilvl w:val="0"/>
          <w:numId w:val="2"/>
        </w:numPr>
        <w:spacing w:after="100"/>
      </w:pPr>
      <w:r>
        <w:rPr>
          <w:rFonts w:ascii="Arial" w:cs="Arial" w:eastAsia="Arial" w:hAnsi="Arial"/>
          <w:color w:val="222222"/>
          <w:sz w:val="21"/>
          <w:szCs w:val="21"/>
        </w:rPr>
        <w:t xml:space="preserve">All transaction records (date, amount, Supporter identity, Creator identity, payment rail, settlement status): minimum five (5) years.</w:t>
      </w:r>
    </w:p>
    <w:p>
      <w:pPr>
        <w:pStyle w:val="ListParagraph"/>
        <w:numPr>
          <w:ilvl w:val="0"/>
          <w:numId w:val="2"/>
        </w:numPr>
        <w:spacing w:after="100"/>
      </w:pPr>
      <w:r>
        <w:rPr>
          <w:rFonts w:ascii="Arial" w:cs="Arial" w:eastAsia="Arial" w:hAnsi="Arial"/>
          <w:color w:val="222222"/>
          <w:sz w:val="21"/>
          <w:szCs w:val="21"/>
        </w:rPr>
        <w:t xml:space="preserve">ACH Proof of Authorization (POA): minimum two (2) years per NACHA Operating Rules (2025 edition), Section 2.3.2.</w:t>
      </w:r>
    </w:p>
    <w:p>
      <w:pPr>
        <w:pStyle w:val="ListParagraph"/>
        <w:numPr>
          <w:ilvl w:val="0"/>
          <w:numId w:val="2"/>
        </w:numPr>
        <w:spacing w:after="100"/>
      </w:pPr>
      <w:r>
        <w:rPr>
          <w:rFonts w:ascii="Arial" w:cs="Arial" w:eastAsia="Arial" w:hAnsi="Arial"/>
          <w:color w:val="222222"/>
          <w:sz w:val="21"/>
          <w:szCs w:val="21"/>
        </w:rPr>
        <w:t xml:space="preserve">SARs and supporting documentation: minimum five (5) years from filing date.</w:t>
      </w:r>
    </w:p>
    <w:p>
      <w:pPr>
        <w:pStyle w:val="ListParagraph"/>
        <w:numPr>
          <w:ilvl w:val="0"/>
          <w:numId w:val="2"/>
        </w:numPr>
        <w:spacing w:after="100"/>
      </w:pPr>
      <w:r>
        <w:rPr>
          <w:rFonts w:ascii="Arial" w:cs="Arial" w:eastAsia="Arial" w:hAnsi="Arial"/>
          <w:color w:val="222222"/>
          <w:sz w:val="21"/>
          <w:szCs w:val="21"/>
        </w:rPr>
        <w:t xml:space="preserve">CTRs (if applicable): minimum five (5) years from filing date.</w:t>
      </w:r>
    </w:p>
    <w:p>
      <w:pPr>
        <w:pStyle w:val="ListParagraph"/>
        <w:numPr>
          <w:ilvl w:val="0"/>
          <w:numId w:val="2"/>
        </w:numPr>
        <w:spacing w:after="100"/>
      </w:pPr>
      <w:r>
        <w:rPr>
          <w:rFonts w:ascii="Arial" w:cs="Arial" w:eastAsia="Arial" w:hAnsi="Arial"/>
          <w:color w:val="222222"/>
          <w:sz w:val="21"/>
          <w:szCs w:val="21"/>
        </w:rPr>
        <w:t xml:space="preserve">OFAC screening results and disposition records: minimum five (5) years.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single" w:color="CCCCCC" w:sz="1"/>
              <w:left w:val="single" w:color="CCCCCC" w:sz="1"/>
              <w:bottom w:val="single" w:color="CCCCCC" w:sz="1"/>
              <w:right w:val="single" w:color="CCCCCC" w:sz="1"/>
            </w:tcBorders>
            <w:shd w:fill="1B2A4A" w:val="clear"/>
            <w:tcMar>
              <w:top w:type="dxa" w:w="120"/>
              <w:left w:type="dxa" w:w="160"/>
              <w:bottom w:type="dxa" w:w="120"/>
              <w:right w:type="dxa" w:w="160"/>
            </w:tcMar>
            <w:vAlign w:val="center"/>
          </w:tcPr>
          <w:p>
            <w:pPr>
              <w:jc w:val="center"/>
            </w:pPr>
            <w:r>
              <w:rPr>
                <w:rFonts w:ascii="Arial" w:cs="Arial" w:eastAsia="Arial" w:hAnsi="Arial"/>
                <w:b/>
                <w:bCs/>
                <w:color w:val="FFFFFF"/>
                <w:sz w:val="18"/>
                <w:szCs w:val="18"/>
              </w:rPr>
              <w:t xml:space="preserve">STORAGE</w:t>
            </w:r>
          </w:p>
        </w:tc>
        <w:tc>
          <w:tcPr>
            <w:tcW w:type="dxa" w:w="7920"/>
            <w:tcBorders>
              <w:top w:val="single" w:color="CCCCCC" w:sz="1"/>
              <w:left w:val="single" w:color="CCCCCC" w:sz="1"/>
              <w:bottom w:val="single" w:color="CCCCCC" w:sz="1"/>
              <w:right w:val="single" w:color="CCCCCC" w:sz="1"/>
            </w:tcBorders>
            <w:shd w:fill="F5F0E8" w:val="clear"/>
            <w:tcMar>
              <w:top w:type="dxa" w:w="120"/>
              <w:left w:type="dxa" w:w="160"/>
              <w:bottom w:type="dxa" w:w="120"/>
              <w:right w:type="dxa" w:w="160"/>
            </w:tcMar>
          </w:tcPr>
          <w:p>
            <w:pPr>
              <w:jc w:val="both"/>
            </w:pPr>
            <w:r>
              <w:rPr>
                <w:rFonts w:ascii="Arial" w:cs="Arial" w:eastAsia="Arial" w:hAnsi="Arial"/>
                <w:color w:val="333333"/>
                <w:sz w:val="20"/>
                <w:szCs w:val="20"/>
              </w:rPr>
              <w:t xml:space="preserve">All records are maintained in encrypted, access-controlled cloud infrastructure (minimum AES-256 at rest, TLS 1.3 in transit). Physical access to production systems requires multi-factor authentication. Records are logically separated from operational data and accessible only to authorized compliance personnel.</w:t>
            </w:r>
          </w:p>
        </w:tc>
      </w:tr>
    </w:tbl>
    <w:p>
      <w:pPr>
        <w:spacing w:after="120"/>
      </w:pPr>
      <w:r>
        <w:t xml:space="preserve"/>
      </w:r>
    </w:p>
    <w:p>
      <w:pPr>
        <w:pStyle w:val="Heading2"/>
        <w:spacing w:after="120" w:before="240"/>
      </w:pPr>
      <w:r>
        <w:rPr>
          <w:rFonts w:ascii="Arial" w:cs="Arial" w:eastAsia="Arial" w:hAnsi="Arial"/>
          <w:b/>
          <w:bCs/>
          <w:color w:val="C8860A"/>
          <w:sz w:val="24"/>
          <w:szCs w:val="24"/>
        </w:rPr>
        <w:t xml:space="preserve">PILLAR 2 — Compliance Officer Designation</w:t>
      </w:r>
    </w:p>
    <w:p>
      <w:pPr>
        <w:spacing w:after="100" w:before="200"/>
      </w:pPr>
      <w:r>
        <w:rPr>
          <w:rFonts w:ascii="Arial" w:cs="Arial" w:eastAsia="Arial" w:hAnsi="Arial"/>
          <w:b/>
          <w:bCs/>
          <w:color w:val="444444"/>
          <w:sz w:val="22"/>
          <w:szCs w:val="22"/>
        </w:rPr>
        <w:t xml:space="preserve">2.6  Designated Compliance Officer</w:t>
      </w:r>
    </w:p>
    <w:p>
      <w:pPr>
        <w:spacing w:after="160" w:before="0"/>
        <w:jc w:val="both"/>
      </w:pPr>
      <w:r>
        <w:rPr>
          <w:rFonts w:ascii="Arial" w:cs="Arial" w:eastAsia="Arial" w:hAnsi="Arial"/>
          <w:b w:val="false"/>
          <w:bCs w:val="false"/>
          <w:color w:val="222222"/>
          <w:sz w:val="21"/>
          <w:szCs w:val="21"/>
        </w:rPr>
        <w:t xml:space="preserve">F33D3R designates a Compliance Officer ("CCO") responsible for day-to-day administration and oversight of this AML Program. The CCO position must be filled by an individual with demonstrated knowledge of BSA/AML requirements and fintech payment operations prior to F33D3R processing any live transactions.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20"/>
                <w:szCs w:val="20"/>
              </w:rPr>
              <w:t xml:space="preserve">Responsibility</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20"/>
                <w:szCs w:val="20"/>
              </w:rPr>
              <w:t xml:space="preserve">Description</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20"/>
                <w:szCs w:val="20"/>
              </w:rPr>
              <w:t xml:space="preserve">Program Administration</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20"/>
                <w:szCs w:val="20"/>
              </w:rPr>
              <w:t xml:space="preserve">Maintain, update, and enforce this AML Program; ensure all policies remain current with FinCEN guidance and applicable law.</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20"/>
                <w:szCs w:val="20"/>
              </w:rPr>
              <w:t xml:space="preserve">SAR/CTR Filing</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20"/>
                <w:szCs w:val="20"/>
              </w:rPr>
              <w:t xml:space="preserve">Supervise preparation and timely filing of Suspicious Activity Reports (SARs) and Currency Transaction Reports (CTRs) via FinCEN's BSA E-Filing System.</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20"/>
                <w:szCs w:val="20"/>
              </w:rPr>
              <w:t xml:space="preserve">OFAC Compliance</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20"/>
                <w:szCs w:val="20"/>
              </w:rPr>
              <w:t xml:space="preserve">Oversee sanctions screening, manage potential match dispositions, and coordinate with OFAC as required.</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20"/>
                <w:szCs w:val="20"/>
              </w:rPr>
              <w:t xml:space="preserve">Training Oversight</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20"/>
                <w:szCs w:val="20"/>
              </w:rPr>
              <w:t xml:space="preserve">Design, implement, and track completion of mandatory AML training for all relevant personnel.</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20"/>
                <w:szCs w:val="20"/>
              </w:rPr>
              <w:t xml:space="preserve">Audit Liaison</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20"/>
                <w:szCs w:val="20"/>
              </w:rPr>
              <w:t xml:space="preserve">Serve as primary contact for independent auditors; coordinate examination responses for FinCEN, DIFI, and other regulators.</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20"/>
                <w:szCs w:val="20"/>
              </w:rPr>
              <w:t xml:space="preserve">Escalation Authority</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20"/>
                <w:szCs w:val="20"/>
              </w:rPr>
              <w:t xml:space="preserve">Final decision authority on account freezes, transaction blocks, and SAR determinations.</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20"/>
                <w:szCs w:val="20"/>
              </w:rPr>
              <w:t xml:space="preserve">Board Reporting</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20"/>
                <w:szCs w:val="20"/>
              </w:rPr>
              <w:t xml:space="preserve">Report to the Board of Directors or senior management no less than annually on Program performance, emerging risks, and recommended enhancements.</w:t>
            </w:r>
          </w:p>
        </w:tc>
      </w:tr>
    </w:tbl>
    <w:p>
      <w:pPr>
        <w:spacing w:after="80"/>
      </w:pPr>
      <w:r>
        <w:t xml:space="preserve"/>
      </w:r>
    </w:p>
    <w:p>
      <w:pPr>
        <w:spacing w:after="160" w:before="0"/>
        <w:jc w:val="both"/>
      </w:pPr>
      <w:r>
        <w:rPr>
          <w:rFonts w:ascii="Arial" w:cs="Arial" w:eastAsia="Arial" w:hAnsi="Arial"/>
          <w:b w:val="false"/>
          <w:bCs w:val="false"/>
          <w:color w:val="222222"/>
          <w:sz w:val="21"/>
          <w:szCs w:val="21"/>
        </w:rPr>
        <w:t xml:space="preserve">The CCO may delegate specific tasks to qualified personnel but retains ultimate accountability. The CCO position may not be held by a person with unsatisfied financial crime convictions or who is listed on FinCEN's enforcement database.</w:t>
      </w:r>
    </w:p>
    <w:p>
      <w:pPr>
        <w:spacing w:after="120"/>
      </w:pPr>
      <w:r>
        <w:t xml:space="preserve"/>
      </w:r>
    </w:p>
    <w:p>
      <w:pPr>
        <w:pStyle w:val="Heading2"/>
        <w:spacing w:after="120" w:before="240"/>
      </w:pPr>
      <w:r>
        <w:rPr>
          <w:rFonts w:ascii="Arial" w:cs="Arial" w:eastAsia="Arial" w:hAnsi="Arial"/>
          <w:b/>
          <w:bCs/>
          <w:color w:val="C8860A"/>
          <w:sz w:val="24"/>
          <w:szCs w:val="24"/>
        </w:rPr>
        <w:t xml:space="preserve">PILLAR 3 — Ongoing Employee Training</w:t>
      </w:r>
    </w:p>
    <w:p>
      <w:pPr>
        <w:spacing w:after="100" w:before="200"/>
      </w:pPr>
      <w:r>
        <w:rPr>
          <w:rFonts w:ascii="Arial" w:cs="Arial" w:eastAsia="Arial" w:hAnsi="Arial"/>
          <w:b/>
          <w:bCs/>
          <w:color w:val="444444"/>
          <w:sz w:val="22"/>
          <w:szCs w:val="22"/>
        </w:rPr>
        <w:t xml:space="preserve">2.7  Training Requirements</w:t>
      </w:r>
    </w:p>
    <w:p>
      <w:pPr>
        <w:spacing w:after="160" w:before="0"/>
        <w:jc w:val="both"/>
      </w:pPr>
      <w:r>
        <w:rPr>
          <w:rFonts w:ascii="Arial" w:cs="Arial" w:eastAsia="Arial" w:hAnsi="Arial"/>
          <w:b w:val="false"/>
          <w:bCs w:val="false"/>
          <w:color w:val="222222"/>
          <w:sz w:val="21"/>
          <w:szCs w:val="21"/>
        </w:rPr>
        <w:t xml:space="preserve">All F33D3R personnel who access financial transaction data, make compliance decisions, handle user onboarding, or develop payment features are required to complete AML training. Training is not a checkbox — it is a continuous competency requirement.</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20"/>
                <w:szCs w:val="20"/>
              </w:rPr>
              <w:t xml:space="preserve">Training Component</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20"/>
                <w:szCs w:val="20"/>
              </w:rPr>
              <w:t xml:space="preserve">Frequency / Format</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20"/>
                <w:szCs w:val="20"/>
              </w:rPr>
              <w:t xml:space="preserve">BSA/AML Foundations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20"/>
                <w:szCs w:val="20"/>
              </w:rPr>
              <w:t xml:space="preserve">At hire; annually thereafter. Covers BSA obligations, SAR/CTR mechanics, red flag recognition, and OFAC basics.</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20"/>
                <w:szCs w:val="20"/>
              </w:rPr>
              <w:t xml:space="preserve">Platform-Specific Typologies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20"/>
                <w:szCs w:val="20"/>
              </w:rPr>
              <w:t xml:space="preserve">At hire; updated when new typologies emerge. Covers creator economy fraud patterns, account takeover, structuring in tipping environments.</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20"/>
                <w:szCs w:val="20"/>
              </w:rPr>
              <w:t xml:space="preserve">OFAC Sanctions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20"/>
                <w:szCs w:val="20"/>
              </w:rPr>
              <w:t xml:space="preserve">At hire; annually. Covers SDN screening, geographic risk, escalation procedures.</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20"/>
                <w:szCs w:val="20"/>
              </w:rPr>
              <w:t xml:space="preserve">Regulatory Updates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20"/>
                <w:szCs w:val="20"/>
              </w:rPr>
              <w:t xml:space="preserve">As issued. CCO distributes written summaries of material FinCEN guidance, FinCEN Advisories, and FATF updates within 30 days of publication.</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20"/>
                <w:szCs w:val="20"/>
              </w:rPr>
              <w:t xml:space="preserve">Incident Debrief Training</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20"/>
                <w:szCs w:val="20"/>
              </w:rPr>
              <w:t xml:space="preserve">Following any SAR filing or compliance incident. All relevant personnel review the incident in anonymized form.</w:t>
            </w:r>
          </w:p>
        </w:tc>
      </w:tr>
    </w:tbl>
    <w:p>
      <w:pPr>
        <w:spacing w:after="80"/>
      </w:pPr>
      <w:r>
        <w:t xml:space="preserve"/>
      </w:r>
    </w:p>
    <w:p>
      <w:pPr>
        <w:spacing w:after="160" w:before="0"/>
        <w:jc w:val="both"/>
      </w:pPr>
      <w:r>
        <w:rPr>
          <w:rFonts w:ascii="Arial" w:cs="Arial" w:eastAsia="Arial" w:hAnsi="Arial"/>
          <w:b w:val="false"/>
          <w:bCs w:val="false"/>
          <w:color w:val="222222"/>
          <w:sz w:val="21"/>
          <w:szCs w:val="21"/>
        </w:rPr>
        <w:t xml:space="preserve">Training completion records, including employee name, date, module completed, and assessment score (where applicable), are maintained for a minimum of five (5) years.</w:t>
      </w:r>
    </w:p>
    <w:p>
      <w:pPr>
        <w:spacing w:after="120"/>
      </w:pPr>
      <w:r>
        <w:t xml:space="preserve"/>
      </w:r>
    </w:p>
    <w:p>
      <w:pPr>
        <w:pStyle w:val="Heading2"/>
        <w:spacing w:after="120" w:before="240"/>
      </w:pPr>
      <w:r>
        <w:rPr>
          <w:rFonts w:ascii="Arial" w:cs="Arial" w:eastAsia="Arial" w:hAnsi="Arial"/>
          <w:b/>
          <w:bCs/>
          <w:color w:val="C8860A"/>
          <w:sz w:val="24"/>
          <w:szCs w:val="24"/>
        </w:rPr>
        <w:t xml:space="preserve">PILLAR 4 — Independent Testing &amp; Audit</w:t>
      </w:r>
    </w:p>
    <w:p>
      <w:pPr>
        <w:spacing w:after="100" w:before="200"/>
      </w:pPr>
      <w:r>
        <w:rPr>
          <w:rFonts w:ascii="Arial" w:cs="Arial" w:eastAsia="Arial" w:hAnsi="Arial"/>
          <w:b/>
          <w:bCs/>
          <w:color w:val="444444"/>
          <w:sz w:val="22"/>
          <w:szCs w:val="22"/>
        </w:rPr>
        <w:t xml:space="preserve">2.8  Independent Audit Function</w:t>
      </w:r>
    </w:p>
    <w:p>
      <w:pPr>
        <w:spacing w:after="160" w:before="0"/>
        <w:jc w:val="both"/>
      </w:pPr>
      <w:r>
        <w:rPr>
          <w:rFonts w:ascii="Arial" w:cs="Arial" w:eastAsia="Arial" w:hAnsi="Arial"/>
          <w:b w:val="false"/>
          <w:bCs w:val="false"/>
          <w:color w:val="222222"/>
          <w:sz w:val="21"/>
          <w:szCs w:val="21"/>
        </w:rPr>
        <w:t xml:space="preserve">This Program is subject to independent testing by a qualified auditor (internal audit function, third-party compliance firm, or qualified outside counsel) no less than annually. The audit function must be independent — auditors may not report to, or have their compensation determined by, the business units they audit.</w:t>
      </w:r>
    </w:p>
    <w:p>
      <w:pPr>
        <w:spacing w:after="160" w:before="0"/>
        <w:jc w:val="both"/>
      </w:pPr>
      <w:r>
        <w:rPr>
          <w:rFonts w:ascii="Arial" w:cs="Arial" w:eastAsia="Arial" w:hAnsi="Arial"/>
          <w:b w:val="false"/>
          <w:bCs w:val="false"/>
          <w:color w:val="222222"/>
          <w:sz w:val="21"/>
          <w:szCs w:val="21"/>
        </w:rPr>
        <w:t xml:space="preserve">The annual audit scope includes, at minimum:</w:t>
      </w:r>
    </w:p>
    <w:p>
      <w:pPr>
        <w:pStyle w:val="ListParagraph"/>
        <w:numPr>
          <w:ilvl w:val="0"/>
          <w:numId w:val="2"/>
        </w:numPr>
        <w:spacing w:after="100"/>
      </w:pPr>
      <w:r>
        <w:rPr>
          <w:rFonts w:ascii="Arial" w:cs="Arial" w:eastAsia="Arial" w:hAnsi="Arial"/>
          <w:color w:val="222222"/>
          <w:sz w:val="21"/>
          <w:szCs w:val="21"/>
        </w:rPr>
        <w:t xml:space="preserve">Review of this AML Program for completeness, accuracy, and currency with applicable law.</w:t>
      </w:r>
    </w:p>
    <w:p>
      <w:pPr>
        <w:pStyle w:val="ListParagraph"/>
        <w:numPr>
          <w:ilvl w:val="0"/>
          <w:numId w:val="2"/>
        </w:numPr>
        <w:spacing w:after="100"/>
      </w:pPr>
      <w:r>
        <w:rPr>
          <w:rFonts w:ascii="Arial" w:cs="Arial" w:eastAsia="Arial" w:hAnsi="Arial"/>
          <w:color w:val="222222"/>
          <w:sz w:val="21"/>
          <w:szCs w:val="21"/>
        </w:rPr>
        <w:t xml:space="preserve">Testing of KYC/CIP procedures for a risk-stratified sample of Supporter and Creator accounts.</w:t>
      </w:r>
    </w:p>
    <w:p>
      <w:pPr>
        <w:pStyle w:val="ListParagraph"/>
        <w:numPr>
          <w:ilvl w:val="0"/>
          <w:numId w:val="2"/>
        </w:numPr>
        <w:spacing w:after="100"/>
      </w:pPr>
      <w:r>
        <w:rPr>
          <w:rFonts w:ascii="Arial" w:cs="Arial" w:eastAsia="Arial" w:hAnsi="Arial"/>
          <w:color w:val="222222"/>
          <w:sz w:val="21"/>
          <w:szCs w:val="21"/>
        </w:rPr>
        <w:t xml:space="preserve">Review of SAR filing decisions, including any "no-file" determinations on escalated matters.</w:t>
      </w:r>
    </w:p>
    <w:p>
      <w:pPr>
        <w:pStyle w:val="ListParagraph"/>
        <w:numPr>
          <w:ilvl w:val="0"/>
          <w:numId w:val="2"/>
        </w:numPr>
        <w:spacing w:after="100"/>
      </w:pPr>
      <w:r>
        <w:rPr>
          <w:rFonts w:ascii="Arial" w:cs="Arial" w:eastAsia="Arial" w:hAnsi="Arial"/>
          <w:color w:val="222222"/>
          <w:sz w:val="21"/>
          <w:szCs w:val="21"/>
        </w:rPr>
        <w:t xml:space="preserve">Assessment of OFAC screening program effectiveness, including false positive rate analysis.</w:t>
      </w:r>
    </w:p>
    <w:p>
      <w:pPr>
        <w:pStyle w:val="ListParagraph"/>
        <w:numPr>
          <w:ilvl w:val="0"/>
          <w:numId w:val="2"/>
        </w:numPr>
        <w:spacing w:after="100"/>
      </w:pPr>
      <w:r>
        <w:rPr>
          <w:rFonts w:ascii="Arial" w:cs="Arial" w:eastAsia="Arial" w:hAnsi="Arial"/>
          <w:color w:val="222222"/>
          <w:sz w:val="21"/>
          <w:szCs w:val="21"/>
        </w:rPr>
        <w:t xml:space="preserve">Review of transaction monitoring alert disposition records.</w:t>
      </w:r>
    </w:p>
    <w:p>
      <w:pPr>
        <w:pStyle w:val="ListParagraph"/>
        <w:numPr>
          <w:ilvl w:val="0"/>
          <w:numId w:val="2"/>
        </w:numPr>
        <w:spacing w:after="100"/>
      </w:pPr>
      <w:r>
        <w:rPr>
          <w:rFonts w:ascii="Arial" w:cs="Arial" w:eastAsia="Arial" w:hAnsi="Arial"/>
          <w:color w:val="222222"/>
          <w:sz w:val="21"/>
          <w:szCs w:val="21"/>
        </w:rPr>
        <w:t xml:space="preserve">Evaluation of employee training completion and effectiveness.</w:t>
      </w:r>
    </w:p>
    <w:p>
      <w:pPr>
        <w:pStyle w:val="ListParagraph"/>
        <w:numPr>
          <w:ilvl w:val="0"/>
          <w:numId w:val="2"/>
        </w:numPr>
        <w:spacing w:after="100"/>
      </w:pPr>
      <w:r>
        <w:rPr>
          <w:rFonts w:ascii="Arial" w:cs="Arial" w:eastAsia="Arial" w:hAnsi="Arial"/>
          <w:color w:val="222222"/>
          <w:sz w:val="21"/>
          <w:szCs w:val="21"/>
        </w:rPr>
        <w:t xml:space="preserve">Assessment of recordkeeping procedures and data integrity.</w:t>
      </w:r>
    </w:p>
    <w:p>
      <w:pPr>
        <w:spacing w:after="160" w:before="0"/>
        <w:jc w:val="both"/>
      </w:pPr>
      <w:r>
        <w:rPr>
          <w:rFonts w:ascii="Arial" w:cs="Arial" w:eastAsia="Arial" w:hAnsi="Arial"/>
          <w:b w:val="false"/>
          <w:bCs w:val="false"/>
          <w:color w:val="222222"/>
          <w:sz w:val="21"/>
          <w:szCs w:val="21"/>
        </w:rPr>
        <w:t xml:space="preserve">Audit findings, management responses, and corrective action plans are reported to the Board of Directors or senior management and retained for five (5) years. Material deficiencies identified in audit are remediated within ninety (90) days of the audit report date, unless the CCO documents a justified extension.</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2A4A" w:val="clear"/>
            <w:tcMar>
              <w:top w:type="dxa" w:w="120"/>
              <w:left w:type="dxa" w:w="240"/>
              <w:bottom w:type="dxa" w:w="120"/>
              <w:right w:type="dxa" w:w="240"/>
            </w:tcMar>
          </w:tcPr>
          <w:p>
            <w:r>
              <w:rPr>
                <w:rFonts w:ascii="Arial" w:cs="Arial" w:eastAsia="Arial" w:hAnsi="Arial"/>
                <w:b/>
                <w:bCs/>
                <w:color w:val="FFFFFF"/>
                <w:sz w:val="26"/>
                <w:szCs w:val="26"/>
              </w:rPr>
              <w:t xml:space="preserve">SECTION III — SAR &amp; CTR FILING OBLIGATIONS</w:t>
            </w:r>
          </w:p>
        </w:tc>
      </w:tr>
    </w:tbl>
    <w:p>
      <w:pPr>
        <w:spacing w:after="120"/>
      </w:pPr>
      <w:r>
        <w:t xml:space="preserve"/>
      </w:r>
    </w:p>
    <w:p>
      <w:pPr>
        <w:pStyle w:val="Heading2"/>
        <w:spacing w:after="120" w:before="240"/>
      </w:pPr>
      <w:r>
        <w:rPr>
          <w:rFonts w:ascii="Arial" w:cs="Arial" w:eastAsia="Arial" w:hAnsi="Arial"/>
          <w:b/>
          <w:bCs/>
          <w:color w:val="C8860A"/>
          <w:sz w:val="24"/>
          <w:szCs w:val="24"/>
        </w:rPr>
        <w:t xml:space="preserve">3.1  Suspicious Activity Reports (SARs)</w:t>
      </w:r>
    </w:p>
    <w:p>
      <w:pPr>
        <w:spacing w:after="160" w:before="0"/>
        <w:jc w:val="both"/>
      </w:pPr>
      <w:r>
        <w:rPr>
          <w:rFonts w:ascii="Arial" w:cs="Arial" w:eastAsia="Arial" w:hAnsi="Arial"/>
          <w:b w:val="false"/>
          <w:bCs w:val="false"/>
          <w:color w:val="222222"/>
          <w:sz w:val="21"/>
          <w:szCs w:val="21"/>
        </w:rPr>
        <w:t xml:space="preserve">F33D3R is required to file a Suspicious Activity Report (FinCEN Form 111) electronically via the BSA E-Filing System when the Company knows, suspects, or has reason to suspect that a transaction (or pattern of transactions) involves funds derived from illegal activity, is designed to evade BSA reporting requirements, lacks a lawful purpose, or involves a known or suspected money laundering scheme — and the transaction involves or aggregates to $2,000 or more.</w:t>
      </w:r>
    </w:p>
    <w:p>
      <w:pPr>
        <w:spacing w:after="100" w:before="200"/>
      </w:pPr>
      <w:r>
        <w:rPr>
          <w:rFonts w:ascii="Arial" w:cs="Arial" w:eastAsia="Arial" w:hAnsi="Arial"/>
          <w:b/>
          <w:bCs/>
          <w:color w:val="444444"/>
          <w:sz w:val="22"/>
          <w:szCs w:val="22"/>
        </w:rPr>
        <w:t xml:space="preserve">3.1.1  Red Flags Specific to Creator Tipping Platforms</w:t>
      </w:r>
    </w:p>
    <w:p>
      <w:pPr>
        <w:spacing w:after="160" w:before="0"/>
        <w:jc w:val="both"/>
      </w:pPr>
      <w:r>
        <w:rPr>
          <w:rFonts w:ascii="Arial" w:cs="Arial" w:eastAsia="Arial" w:hAnsi="Arial"/>
          <w:b w:val="false"/>
          <w:bCs w:val="false"/>
          <w:color w:val="222222"/>
          <w:sz w:val="21"/>
          <w:szCs w:val="21"/>
        </w:rPr>
        <w:t xml:space="preserve">The following patterns are non-exhaustive indicators of potentially suspicious activity warranting review and possible SAR filing in the F33D3R context:</w:t>
      </w:r>
    </w:p>
    <w:p>
      <w:pPr>
        <w:pStyle w:val="ListParagraph"/>
        <w:numPr>
          <w:ilvl w:val="0"/>
          <w:numId w:val="2"/>
        </w:numPr>
        <w:spacing w:after="100"/>
      </w:pPr>
      <w:r>
        <w:rPr>
          <w:rFonts w:ascii="Arial" w:cs="Arial" w:eastAsia="Arial" w:hAnsi="Arial"/>
          <w:color w:val="222222"/>
          <w:sz w:val="21"/>
          <w:szCs w:val="21"/>
        </w:rPr>
        <w:t xml:space="preserve">A Supporter tips a Creator immediately after account creation without any content engagement history.</w:t>
      </w:r>
    </w:p>
    <w:p>
      <w:pPr>
        <w:pStyle w:val="ListParagraph"/>
        <w:numPr>
          <w:ilvl w:val="0"/>
          <w:numId w:val="2"/>
        </w:numPr>
        <w:spacing w:after="100"/>
      </w:pPr>
      <w:r>
        <w:rPr>
          <w:rFonts w:ascii="Arial" w:cs="Arial" w:eastAsia="Arial" w:hAnsi="Arial"/>
          <w:color w:val="222222"/>
          <w:sz w:val="21"/>
          <w:szCs w:val="21"/>
        </w:rPr>
        <w:t xml:space="preserve">Multiple newly created Supporter accounts tip the same Creator in rapid succession, especially in amounts just below $2,000 (structuring indicator).</w:t>
      </w:r>
    </w:p>
    <w:p>
      <w:pPr>
        <w:pStyle w:val="ListParagraph"/>
        <w:numPr>
          <w:ilvl w:val="0"/>
          <w:numId w:val="2"/>
        </w:numPr>
        <w:spacing w:after="100"/>
      </w:pPr>
      <w:r>
        <w:rPr>
          <w:rFonts w:ascii="Arial" w:cs="Arial" w:eastAsia="Arial" w:hAnsi="Arial"/>
          <w:color w:val="222222"/>
          <w:sz w:val="21"/>
          <w:szCs w:val="21"/>
        </w:rPr>
        <w:t xml:space="preserve">A Creator receives tips from accounts with no profile information, no content interaction, and inconsistent geographic signatures.</w:t>
      </w:r>
    </w:p>
    <w:p>
      <w:pPr>
        <w:pStyle w:val="ListParagraph"/>
        <w:numPr>
          <w:ilvl w:val="0"/>
          <w:numId w:val="2"/>
        </w:numPr>
        <w:spacing w:after="100"/>
      </w:pPr>
      <w:r>
        <w:rPr>
          <w:rFonts w:ascii="Arial" w:cs="Arial" w:eastAsia="Arial" w:hAnsi="Arial"/>
          <w:color w:val="222222"/>
          <w:sz w:val="21"/>
          <w:szCs w:val="21"/>
        </w:rPr>
        <w:t xml:space="preserve">A Creator requests repeated changes to disbursement bank accounts, particularly to accounts at institutions in jurisdictions with elevated ML/TF risk.</w:t>
      </w:r>
    </w:p>
    <w:p>
      <w:pPr>
        <w:pStyle w:val="ListParagraph"/>
        <w:numPr>
          <w:ilvl w:val="0"/>
          <w:numId w:val="2"/>
        </w:numPr>
        <w:spacing w:after="100"/>
      </w:pPr>
      <w:r>
        <w:rPr>
          <w:rFonts w:ascii="Arial" w:cs="Arial" w:eastAsia="Arial" w:hAnsi="Arial"/>
          <w:color w:val="222222"/>
          <w:sz w:val="21"/>
          <w:szCs w:val="21"/>
        </w:rPr>
        <w:t xml:space="preserve">Tips that cycle: Supporter A tips Creator B; Creator B immediately tips Creator A or a closely associated account.</w:t>
      </w:r>
    </w:p>
    <w:p>
      <w:pPr>
        <w:pStyle w:val="ListParagraph"/>
        <w:numPr>
          <w:ilvl w:val="0"/>
          <w:numId w:val="2"/>
        </w:numPr>
        <w:spacing w:after="100"/>
      </w:pPr>
      <w:r>
        <w:rPr>
          <w:rFonts w:ascii="Arial" w:cs="Arial" w:eastAsia="Arial" w:hAnsi="Arial"/>
          <w:color w:val="222222"/>
          <w:sz w:val="21"/>
          <w:szCs w:val="21"/>
        </w:rPr>
        <w:t xml:space="preserve">A Supporter links and unlinks multiple bank accounts in a short period, suggesting account testing or layering.</w:t>
      </w:r>
    </w:p>
    <w:p>
      <w:pPr>
        <w:pStyle w:val="ListParagraph"/>
        <w:numPr>
          <w:ilvl w:val="0"/>
          <w:numId w:val="2"/>
        </w:numPr>
        <w:spacing w:after="100"/>
      </w:pPr>
      <w:r>
        <w:rPr>
          <w:rFonts w:ascii="Arial" w:cs="Arial" w:eastAsia="Arial" w:hAnsi="Arial"/>
          <w:color w:val="222222"/>
          <w:sz w:val="21"/>
          <w:szCs w:val="21"/>
        </w:rPr>
        <w:t xml:space="preserve">Tips from accounts that exhibit patterns consistent with human trafficking typologies identified in FinCEN Advisory FIN-2014-A008 or subsequent updates.</w:t>
      </w:r>
    </w:p>
    <w:p>
      <w:pPr>
        <w:spacing w:after="100" w:before="200"/>
      </w:pPr>
      <w:r>
        <w:rPr>
          <w:rFonts w:ascii="Arial" w:cs="Arial" w:eastAsia="Arial" w:hAnsi="Arial"/>
          <w:b/>
          <w:bCs/>
          <w:color w:val="444444"/>
          <w:sz w:val="22"/>
          <w:szCs w:val="22"/>
        </w:rPr>
        <w:t xml:space="preserve">3.1.2  SAR Filing Procedures</w:t>
      </w:r>
    </w:p>
    <w:p>
      <w:pPr>
        <w:pStyle w:val="ListParagraph"/>
        <w:numPr>
          <w:ilvl w:val="0"/>
          <w:numId w:val="3"/>
        </w:numPr>
        <w:spacing w:after="100"/>
      </w:pPr>
      <w:r>
        <w:rPr>
          <w:rFonts w:ascii="Arial" w:cs="Arial" w:eastAsia="Arial" w:hAnsi="Arial"/>
          <w:color w:val="222222"/>
          <w:sz w:val="21"/>
          <w:szCs w:val="21"/>
        </w:rPr>
        <w:t xml:space="preserve">Transaction or pattern is flagged by automated monitoring system or reported by platform personnel.</w:t>
      </w:r>
    </w:p>
    <w:p>
      <w:pPr>
        <w:pStyle w:val="ListParagraph"/>
        <w:numPr>
          <w:ilvl w:val="0"/>
          <w:numId w:val="3"/>
        </w:numPr>
        <w:spacing w:after="100"/>
      </w:pPr>
      <w:r>
        <w:rPr>
          <w:rFonts w:ascii="Arial" w:cs="Arial" w:eastAsia="Arial" w:hAnsi="Arial"/>
          <w:color w:val="222222"/>
          <w:sz w:val="21"/>
          <w:szCs w:val="21"/>
        </w:rPr>
        <w:t xml:space="preserve">Compliance Officer or designated analyst conducts initial review within three (3) business days of flag.</w:t>
      </w:r>
    </w:p>
    <w:p>
      <w:pPr>
        <w:pStyle w:val="ListParagraph"/>
        <w:numPr>
          <w:ilvl w:val="0"/>
          <w:numId w:val="3"/>
        </w:numPr>
        <w:spacing w:after="100"/>
      </w:pPr>
      <w:r>
        <w:rPr>
          <w:rFonts w:ascii="Arial" w:cs="Arial" w:eastAsia="Arial" w:hAnsi="Arial"/>
          <w:color w:val="222222"/>
          <w:sz w:val="21"/>
          <w:szCs w:val="21"/>
        </w:rPr>
        <w:t xml:space="preserve">If review supports reasonable suspicion, CCO makes final SAR determination and files electronically via BSA E-Filing System within thirty (30) calendar days of the date the Company first detected the suspicious activity, or sixty (60) days if no subject can be identified.</w:t>
      </w:r>
    </w:p>
    <w:p>
      <w:pPr>
        <w:pStyle w:val="ListParagraph"/>
        <w:numPr>
          <w:ilvl w:val="0"/>
          <w:numId w:val="3"/>
        </w:numPr>
        <w:spacing w:after="100"/>
      </w:pPr>
      <w:r>
        <w:rPr>
          <w:rFonts w:ascii="Arial" w:cs="Arial" w:eastAsia="Arial" w:hAnsi="Arial"/>
          <w:color w:val="222222"/>
          <w:sz w:val="21"/>
          <w:szCs w:val="21"/>
        </w:rPr>
        <w:t xml:space="preserve">SAR and all supporting documentation are retained for five (5) years.</w:t>
      </w:r>
    </w:p>
    <w:p>
      <w:pPr>
        <w:pStyle w:val="ListParagraph"/>
        <w:numPr>
          <w:ilvl w:val="0"/>
          <w:numId w:val="3"/>
        </w:numPr>
        <w:spacing w:after="100"/>
      </w:pPr>
      <w:r>
        <w:rPr>
          <w:rFonts w:ascii="Arial" w:cs="Arial" w:eastAsia="Arial" w:hAnsi="Arial"/>
          <w:color w:val="222222"/>
          <w:sz w:val="21"/>
          <w:szCs w:val="21"/>
        </w:rPr>
        <w:t xml:space="preserve">Tipping-off prohibition: No F33D3R employee may disclose the existence of a SAR or investigation to any subject of the report (31 U.S.C. § 5318(g)(2)).</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single" w:color="CCCCCC" w:sz="1"/>
              <w:left w:val="single" w:color="CCCCCC" w:sz="1"/>
              <w:bottom w:val="single" w:color="CCCCCC" w:sz="1"/>
              <w:right w:val="single" w:color="CCCCCC" w:sz="1"/>
            </w:tcBorders>
            <w:shd w:fill="1B2A4A" w:val="clear"/>
            <w:tcMar>
              <w:top w:type="dxa" w:w="120"/>
              <w:left w:type="dxa" w:w="160"/>
              <w:bottom w:type="dxa" w:w="120"/>
              <w:right w:type="dxa" w:w="160"/>
            </w:tcMar>
            <w:vAlign w:val="center"/>
          </w:tcPr>
          <w:p>
            <w:pPr>
              <w:jc w:val="center"/>
            </w:pPr>
            <w:r>
              <w:rPr>
                <w:rFonts w:ascii="Arial" w:cs="Arial" w:eastAsia="Arial" w:hAnsi="Arial"/>
                <w:b/>
                <w:bCs/>
                <w:color w:val="FFFFFF"/>
                <w:sz w:val="18"/>
                <w:szCs w:val="18"/>
              </w:rPr>
              <w:t xml:space="preserve">IMPORTANT</w:t>
            </w:r>
          </w:p>
        </w:tc>
        <w:tc>
          <w:tcPr>
            <w:tcW w:type="dxa" w:w="7920"/>
            <w:tcBorders>
              <w:top w:val="single" w:color="CCCCCC" w:sz="1"/>
              <w:left w:val="single" w:color="CCCCCC" w:sz="1"/>
              <w:bottom w:val="single" w:color="CCCCCC" w:sz="1"/>
              <w:right w:val="single" w:color="CCCCCC" w:sz="1"/>
            </w:tcBorders>
            <w:shd w:fill="F5F0E8" w:val="clear"/>
            <w:tcMar>
              <w:top w:type="dxa" w:w="120"/>
              <w:left w:type="dxa" w:w="160"/>
              <w:bottom w:type="dxa" w:w="120"/>
              <w:right w:type="dxa" w:w="160"/>
            </w:tcMar>
          </w:tcPr>
          <w:p>
            <w:pPr>
              <w:jc w:val="both"/>
            </w:pPr>
            <w:r>
              <w:rPr>
                <w:rFonts w:ascii="Arial" w:cs="Arial" w:eastAsia="Arial" w:hAnsi="Arial"/>
                <w:color w:val="333333"/>
                <w:sz w:val="20"/>
                <w:szCs w:val="20"/>
              </w:rPr>
              <w:t xml:space="preserve">SAR filing does not require certainty of criminal activity. The standard is reasonable suspicion. When in doubt, the Compliance Officer should consult legal counsel and, where appropriate, err on the side of filing.</w:t>
            </w:r>
          </w:p>
        </w:tc>
      </w:tr>
    </w:tbl>
    <w:p>
      <w:pPr>
        <w:spacing w:after="120"/>
      </w:pPr>
      <w:r>
        <w:t xml:space="preserve"/>
      </w:r>
    </w:p>
    <w:p>
      <w:pPr>
        <w:pStyle w:val="Heading2"/>
        <w:spacing w:after="120" w:before="240"/>
      </w:pPr>
      <w:r>
        <w:rPr>
          <w:rFonts w:ascii="Arial" w:cs="Arial" w:eastAsia="Arial" w:hAnsi="Arial"/>
          <w:b/>
          <w:bCs/>
          <w:color w:val="C8860A"/>
          <w:sz w:val="24"/>
          <w:szCs w:val="24"/>
        </w:rPr>
        <w:t xml:space="preserve">3.2  Currency Transaction Reports (CTRs)</w:t>
      </w:r>
    </w:p>
    <w:p>
      <w:pPr>
        <w:spacing w:after="160" w:before="0"/>
        <w:jc w:val="both"/>
      </w:pPr>
      <w:r>
        <w:rPr>
          <w:rFonts w:ascii="Arial" w:cs="Arial" w:eastAsia="Arial" w:hAnsi="Arial"/>
          <w:b w:val="false"/>
          <w:bCs w:val="false"/>
          <w:color w:val="222222"/>
          <w:sz w:val="21"/>
          <w:szCs w:val="21"/>
        </w:rPr>
        <w:t xml:space="preserve">F33D3R is a digital platform operating exclusively through electronic bank-linked payment rails. The Company does not accept physical currency. Accordingly, CTR filing obligations under 31 C.F.R. § 1010.311 (triggered by cash transactions exceeding $10,000) are not anticipated in the ordinary course of F33D3R's operations. Should any novel transaction structure arise involving currency equivalents that may implicate CTR thresholds, the CCO will consult legal counsel and file as required.</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2A4A" w:val="clear"/>
            <w:tcMar>
              <w:top w:type="dxa" w:w="120"/>
              <w:left w:type="dxa" w:w="240"/>
              <w:bottom w:type="dxa" w:w="120"/>
              <w:right w:type="dxa" w:w="240"/>
            </w:tcMar>
          </w:tcPr>
          <w:p>
            <w:r>
              <w:rPr>
                <w:rFonts w:ascii="Arial" w:cs="Arial" w:eastAsia="Arial" w:hAnsi="Arial"/>
                <w:b/>
                <w:bCs/>
                <w:color w:val="FFFFFF"/>
                <w:sz w:val="26"/>
                <w:szCs w:val="26"/>
              </w:rPr>
              <w:t xml:space="preserve">SECTION IV — RISK ASSESSMENT</w:t>
            </w:r>
          </w:p>
        </w:tc>
      </w:tr>
    </w:tbl>
    <w:p>
      <w:pPr>
        <w:spacing w:after="120"/>
      </w:pPr>
      <w:r>
        <w:t xml:space="preserve"/>
      </w:r>
    </w:p>
    <w:p>
      <w:pPr>
        <w:pStyle w:val="Heading2"/>
        <w:spacing w:after="120" w:before="240"/>
      </w:pPr>
      <w:r>
        <w:rPr>
          <w:rFonts w:ascii="Arial" w:cs="Arial" w:eastAsia="Arial" w:hAnsi="Arial"/>
          <w:b/>
          <w:bCs/>
          <w:color w:val="C8860A"/>
          <w:sz w:val="24"/>
          <w:szCs w:val="24"/>
        </w:rPr>
        <w:t xml:space="preserve">4.1  Methodology</w:t>
      </w:r>
    </w:p>
    <w:p>
      <w:pPr>
        <w:spacing w:after="160" w:before="0"/>
        <w:jc w:val="both"/>
      </w:pPr>
      <w:r>
        <w:rPr>
          <w:rFonts w:ascii="Arial" w:cs="Arial" w:eastAsia="Arial" w:hAnsi="Arial"/>
          <w:b w:val="false"/>
          <w:bCs w:val="false"/>
          <w:color w:val="222222"/>
          <w:sz w:val="21"/>
          <w:szCs w:val="21"/>
        </w:rPr>
        <w:t xml:space="preserve">This risk assessment was conducted pursuant to the FinCEN proposed rule (June 28, 2024) requiring MSBs to maintain a documented, risk-based AML program grounded in a formal risk assessment. F33D3R's risk profile is evaluated across four dimensions: (1) customer/user risk, (2) product/service risk, (3) geographic risk, and (4) delivery channel risk. The assessment is reviewed and updated at least annually and upon material changes to the business.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800"/>
        <w:gridCol w:w="3360"/>
        <w:gridCol w:w="2000"/>
      </w:tblGrid>
      <w:tr>
        <w:trPr>
          <w:tblHeader/>
        </w:trPr>
        <w:tc>
          <w:tcPr>
            <w:tcW w:type="dxa" w:w="2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Risk Category</w:t>
            </w:r>
          </w:p>
        </w:tc>
        <w:tc>
          <w:tcPr>
            <w:tcW w:type="dxa" w:w="18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Inherent Risk</w:t>
            </w:r>
          </w:p>
        </w:tc>
        <w:tc>
          <w:tcPr>
            <w:tcW w:type="dxa" w:w="33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Key Controls</w:t>
            </w:r>
          </w:p>
        </w:tc>
        <w:tc>
          <w:tcPr>
            <w:tcW w:type="dxa" w:w="20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Residual Risk</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444444"/>
                <w:sz w:val="19"/>
                <w:szCs w:val="19"/>
              </w:rPr>
              <w:t xml:space="preserve">Supporter Account Fraud</w:t>
            </w:r>
          </w:p>
        </w:tc>
        <w:tc>
          <w:tcPr>
            <w:tcW w:type="dxa" w:w="1800"/>
            <w:tcBorders>
              <w:top w:val="single" w:color="CCCCCC" w:sz="1"/>
              <w:left w:val="single" w:color="CCCCCC" w:sz="1"/>
              <w:bottom w:val="single" w:color="CCCCCC" w:sz="1"/>
              <w:right w:val="single" w:color="CCCCCC" w:sz="1"/>
            </w:tcBorders>
            <w:shd w:fill="E6F4EB" w:val="clear"/>
            <w:tcMar>
              <w:top w:type="dxa" w:w="80"/>
              <w:left w:type="dxa" w:w="120"/>
              <w:bottom w:type="dxa" w:w="80"/>
              <w:right w:type="dxa" w:w="120"/>
            </w:tcMar>
          </w:tcPr>
          <w:p>
            <w:pPr>
              <w:jc w:val="center"/>
            </w:pPr>
            <w:r>
              <w:rPr>
                <w:rFonts w:ascii="Arial" w:cs="Arial" w:eastAsia="Arial" w:hAnsi="Arial"/>
                <w:b/>
                <w:bCs/>
                <w:color w:val="1A7A3A"/>
                <w:sz w:val="19"/>
                <w:szCs w:val="19"/>
              </w:rPr>
              <w:t xml:space="preserve">MEDIUM</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9"/>
                <w:szCs w:val="19"/>
              </w:rPr>
              <w:t xml:space="preserve">Plaid Link bank verification; velocity limits; Plaid Signal ACH risk scoring; device fingerprinting</w:t>
            </w:r>
          </w:p>
        </w:tc>
        <w:tc>
          <w:tcPr>
            <w:tcW w:type="dxa" w:w="2000"/>
            <w:tcBorders>
              <w:top w:val="single" w:color="CCCCCC" w:sz="1"/>
              <w:left w:val="single" w:color="CCCCCC" w:sz="1"/>
              <w:bottom w:val="single" w:color="CCCCCC" w:sz="1"/>
              <w:right w:val="single" w:color="CCCCCC" w:sz="1"/>
            </w:tcBorders>
            <w:shd w:fill="E6F4EB" w:val="clear"/>
            <w:tcMar>
              <w:top w:type="dxa" w:w="80"/>
              <w:left w:type="dxa" w:w="120"/>
              <w:bottom w:type="dxa" w:w="80"/>
              <w:right w:type="dxa" w:w="120"/>
            </w:tcMar>
          </w:tcPr>
          <w:p>
            <w:pPr>
              <w:jc w:val="center"/>
            </w:pPr>
            <w:r>
              <w:rPr>
                <w:rFonts w:ascii="Arial" w:cs="Arial" w:eastAsia="Arial" w:hAnsi="Arial"/>
                <w:b/>
                <w:bCs/>
                <w:color w:val="1A7A3A"/>
                <w:sz w:val="19"/>
                <w:szCs w:val="19"/>
              </w:rPr>
              <w:t xml:space="preserve">LOW</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444444"/>
                <w:sz w:val="19"/>
                <w:szCs w:val="19"/>
              </w:rPr>
              <w:t xml:space="preserve">Creator Identity Fraud</w:t>
            </w:r>
          </w:p>
        </w:tc>
        <w:tc>
          <w:tcPr>
            <w:tcW w:type="dxa" w:w="1800"/>
            <w:tcBorders>
              <w:top w:val="single" w:color="CCCCCC" w:sz="1"/>
              <w:left w:val="single" w:color="CCCCCC" w:sz="1"/>
              <w:bottom w:val="single" w:color="CCCCCC" w:sz="1"/>
              <w:right w:val="single" w:color="CCCCCC" w:sz="1"/>
            </w:tcBorders>
            <w:shd w:fill="FFF3CD" w:val="clear"/>
            <w:tcMar>
              <w:top w:type="dxa" w:w="80"/>
              <w:left w:type="dxa" w:w="120"/>
              <w:bottom w:type="dxa" w:w="80"/>
              <w:right w:type="dxa" w:w="120"/>
            </w:tcMar>
          </w:tcPr>
          <w:p>
            <w:pPr>
              <w:jc w:val="center"/>
            </w:pPr>
            <w:r>
              <w:rPr>
                <w:rFonts w:ascii="Arial" w:cs="Arial" w:eastAsia="Arial" w:hAnsi="Arial"/>
                <w:b/>
                <w:bCs/>
                <w:color w:val="C8860A"/>
                <w:sz w:val="19"/>
                <w:szCs w:val="19"/>
              </w:rPr>
              <w:t xml:space="preserve">MEDIUM-HIGH</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9"/>
                <w:szCs w:val="19"/>
              </w:rPr>
              <w:t xml:space="preserve">Full CIP w/ government ID verification; SSN/EIN collection; OFAC screening; disbursement holds</w:t>
            </w:r>
          </w:p>
        </w:tc>
        <w:tc>
          <w:tcPr>
            <w:tcW w:type="dxa" w:w="2000"/>
            <w:tcBorders>
              <w:top w:val="single" w:color="CCCCCC" w:sz="1"/>
              <w:left w:val="single" w:color="CCCCCC" w:sz="1"/>
              <w:bottom w:val="single" w:color="CCCCCC" w:sz="1"/>
              <w:right w:val="single" w:color="CCCCCC" w:sz="1"/>
            </w:tcBorders>
            <w:shd w:fill="FFF3CD" w:val="clear"/>
            <w:tcMar>
              <w:top w:type="dxa" w:w="80"/>
              <w:left w:type="dxa" w:w="120"/>
              <w:bottom w:type="dxa" w:w="80"/>
              <w:right w:type="dxa" w:w="120"/>
            </w:tcMar>
          </w:tcPr>
          <w:p>
            <w:pPr>
              <w:jc w:val="center"/>
            </w:pPr>
            <w:r>
              <w:rPr>
                <w:rFonts w:ascii="Arial" w:cs="Arial" w:eastAsia="Arial" w:hAnsi="Arial"/>
                <w:b/>
                <w:bCs/>
                <w:color w:val="C8860A"/>
                <w:sz w:val="19"/>
                <w:szCs w:val="19"/>
              </w:rPr>
              <w:t xml:space="preserve">LOW</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444444"/>
                <w:sz w:val="19"/>
                <w:szCs w:val="19"/>
              </w:rPr>
              <w:t xml:space="preserve">Structuring / Layering</w:t>
            </w:r>
          </w:p>
        </w:tc>
        <w:tc>
          <w:tcPr>
            <w:tcW w:type="dxa" w:w="1800"/>
            <w:tcBorders>
              <w:top w:val="single" w:color="CCCCCC" w:sz="1"/>
              <w:left w:val="single" w:color="CCCCCC" w:sz="1"/>
              <w:bottom w:val="single" w:color="CCCCCC" w:sz="1"/>
              <w:right w:val="single" w:color="CCCCCC" w:sz="1"/>
            </w:tcBorders>
            <w:shd w:fill="E6F4EB" w:val="clear"/>
            <w:tcMar>
              <w:top w:type="dxa" w:w="80"/>
              <w:left w:type="dxa" w:w="120"/>
              <w:bottom w:type="dxa" w:w="80"/>
              <w:right w:type="dxa" w:w="120"/>
            </w:tcMar>
          </w:tcPr>
          <w:p>
            <w:pPr>
              <w:jc w:val="center"/>
            </w:pPr>
            <w:r>
              <w:rPr>
                <w:rFonts w:ascii="Arial" w:cs="Arial" w:eastAsia="Arial" w:hAnsi="Arial"/>
                <w:b/>
                <w:bCs/>
                <w:color w:val="1A7A3A"/>
                <w:sz w:val="19"/>
                <w:szCs w:val="19"/>
              </w:rPr>
              <w:t xml:space="preserve">LOW-MEDIUM</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9"/>
                <w:szCs w:val="19"/>
              </w:rPr>
              <w:t xml:space="preserve">Aggregate transaction monitoring; $2K SAR threshold; tip velocity alerts; account relationship analysis</w:t>
            </w:r>
          </w:p>
        </w:tc>
        <w:tc>
          <w:tcPr>
            <w:tcW w:type="dxa" w:w="2000"/>
            <w:tcBorders>
              <w:top w:val="single" w:color="CCCCCC" w:sz="1"/>
              <w:left w:val="single" w:color="CCCCCC" w:sz="1"/>
              <w:bottom w:val="single" w:color="CCCCCC" w:sz="1"/>
              <w:right w:val="single" w:color="CCCCCC" w:sz="1"/>
            </w:tcBorders>
            <w:shd w:fill="E6F4EB" w:val="clear"/>
            <w:tcMar>
              <w:top w:type="dxa" w:w="80"/>
              <w:left w:type="dxa" w:w="120"/>
              <w:bottom w:type="dxa" w:w="80"/>
              <w:right w:type="dxa" w:w="120"/>
            </w:tcMar>
          </w:tcPr>
          <w:p>
            <w:pPr>
              <w:jc w:val="center"/>
            </w:pPr>
            <w:r>
              <w:rPr>
                <w:rFonts w:ascii="Arial" w:cs="Arial" w:eastAsia="Arial" w:hAnsi="Arial"/>
                <w:b/>
                <w:bCs/>
                <w:color w:val="1A7A3A"/>
                <w:sz w:val="19"/>
                <w:szCs w:val="19"/>
              </w:rPr>
              <w:t xml:space="preserve">LOW</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444444"/>
                <w:sz w:val="19"/>
                <w:szCs w:val="19"/>
              </w:rPr>
              <w:t xml:space="preserve">Sanctions (OFAC)</w:t>
            </w:r>
          </w:p>
        </w:tc>
        <w:tc>
          <w:tcPr>
            <w:tcW w:type="dxa" w:w="1800"/>
            <w:tcBorders>
              <w:top w:val="single" w:color="CCCCCC" w:sz="1"/>
              <w:left w:val="single" w:color="CCCCCC" w:sz="1"/>
              <w:bottom w:val="single" w:color="CCCCCC" w:sz="1"/>
              <w:right w:val="single" w:color="CCCCCC" w:sz="1"/>
            </w:tcBorders>
            <w:shd w:fill="E6F4EB" w:val="clear"/>
            <w:tcMar>
              <w:top w:type="dxa" w:w="80"/>
              <w:left w:type="dxa" w:w="120"/>
              <w:bottom w:type="dxa" w:w="80"/>
              <w:right w:type="dxa" w:w="120"/>
            </w:tcMar>
          </w:tcPr>
          <w:p>
            <w:pPr>
              <w:jc w:val="center"/>
            </w:pPr>
            <w:r>
              <w:rPr>
                <w:rFonts w:ascii="Arial" w:cs="Arial" w:eastAsia="Arial" w:hAnsi="Arial"/>
                <w:b/>
                <w:bCs/>
                <w:color w:val="1A7A3A"/>
                <w:sz w:val="19"/>
                <w:szCs w:val="19"/>
              </w:rPr>
              <w:t xml:space="preserve">LOW</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9"/>
                <w:szCs w:val="19"/>
              </w:rPr>
              <w:t xml:space="preserve">Real-time SDN screening at onboarding and ongoing; geographic restriction on sanctioned jurisdictions</w:t>
            </w:r>
          </w:p>
        </w:tc>
        <w:tc>
          <w:tcPr>
            <w:tcW w:type="dxa" w:w="2000"/>
            <w:tcBorders>
              <w:top w:val="single" w:color="CCCCCC" w:sz="1"/>
              <w:left w:val="single" w:color="CCCCCC" w:sz="1"/>
              <w:bottom w:val="single" w:color="CCCCCC" w:sz="1"/>
              <w:right w:val="single" w:color="CCCCCC" w:sz="1"/>
            </w:tcBorders>
            <w:shd w:fill="E6F4EB" w:val="clear"/>
            <w:tcMar>
              <w:top w:type="dxa" w:w="80"/>
              <w:left w:type="dxa" w:w="120"/>
              <w:bottom w:type="dxa" w:w="80"/>
              <w:right w:type="dxa" w:w="120"/>
            </w:tcMar>
          </w:tcPr>
          <w:p>
            <w:pPr>
              <w:jc w:val="center"/>
            </w:pPr>
            <w:r>
              <w:rPr>
                <w:rFonts w:ascii="Arial" w:cs="Arial" w:eastAsia="Arial" w:hAnsi="Arial"/>
                <w:b/>
                <w:bCs/>
                <w:color w:val="1A7A3A"/>
                <w:sz w:val="19"/>
                <w:szCs w:val="19"/>
              </w:rPr>
              <w:t xml:space="preserve">LOW</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444444"/>
                <w:sz w:val="19"/>
                <w:szCs w:val="19"/>
              </w:rPr>
              <w:t xml:space="preserve">Human Trafficking</w:t>
            </w:r>
          </w:p>
        </w:tc>
        <w:tc>
          <w:tcPr>
            <w:tcW w:type="dxa" w:w="1800"/>
            <w:tcBorders>
              <w:top w:val="single" w:color="CCCCCC" w:sz="1"/>
              <w:left w:val="single" w:color="CCCCCC" w:sz="1"/>
              <w:bottom w:val="single" w:color="CCCCCC" w:sz="1"/>
              <w:right w:val="single" w:color="CCCCCC" w:sz="1"/>
            </w:tcBorders>
            <w:shd w:fill="E6F4EB" w:val="clear"/>
            <w:tcMar>
              <w:top w:type="dxa" w:w="80"/>
              <w:left w:type="dxa" w:w="120"/>
              <w:bottom w:type="dxa" w:w="80"/>
              <w:right w:type="dxa" w:w="120"/>
            </w:tcMar>
          </w:tcPr>
          <w:p>
            <w:pPr>
              <w:jc w:val="center"/>
            </w:pPr>
            <w:r>
              <w:rPr>
                <w:rFonts w:ascii="Arial" w:cs="Arial" w:eastAsia="Arial" w:hAnsi="Arial"/>
                <w:b/>
                <w:bCs/>
                <w:color w:val="1A7A3A"/>
                <w:sz w:val="19"/>
                <w:szCs w:val="19"/>
              </w:rPr>
              <w:t xml:space="preserve">LOW</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9"/>
                <w:szCs w:val="19"/>
              </w:rPr>
              <w:t xml:space="preserve">FinCEN advisory typologies embedded in monitoring rules; no adult content permitted on platform</w:t>
            </w:r>
          </w:p>
        </w:tc>
        <w:tc>
          <w:tcPr>
            <w:tcW w:type="dxa" w:w="2000"/>
            <w:tcBorders>
              <w:top w:val="single" w:color="CCCCCC" w:sz="1"/>
              <w:left w:val="single" w:color="CCCCCC" w:sz="1"/>
              <w:bottom w:val="single" w:color="CCCCCC" w:sz="1"/>
              <w:right w:val="single" w:color="CCCCCC" w:sz="1"/>
            </w:tcBorders>
            <w:shd w:fill="E6F4EB" w:val="clear"/>
            <w:tcMar>
              <w:top w:type="dxa" w:w="80"/>
              <w:left w:type="dxa" w:w="120"/>
              <w:bottom w:type="dxa" w:w="80"/>
              <w:right w:type="dxa" w:w="120"/>
            </w:tcMar>
          </w:tcPr>
          <w:p>
            <w:pPr>
              <w:jc w:val="center"/>
            </w:pPr>
            <w:r>
              <w:rPr>
                <w:rFonts w:ascii="Arial" w:cs="Arial" w:eastAsia="Arial" w:hAnsi="Arial"/>
                <w:b/>
                <w:bCs/>
                <w:color w:val="1A7A3A"/>
                <w:sz w:val="19"/>
                <w:szCs w:val="19"/>
              </w:rPr>
              <w:t xml:space="preserve">LOW</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444444"/>
                <w:sz w:val="19"/>
                <w:szCs w:val="19"/>
              </w:rPr>
              <w:t xml:space="preserve">Account Takeover</w:t>
            </w:r>
          </w:p>
        </w:tc>
        <w:tc>
          <w:tcPr>
            <w:tcW w:type="dxa" w:w="1800"/>
            <w:tcBorders>
              <w:top w:val="single" w:color="CCCCCC" w:sz="1"/>
              <w:left w:val="single" w:color="CCCCCC" w:sz="1"/>
              <w:bottom w:val="single" w:color="CCCCCC" w:sz="1"/>
              <w:right w:val="single" w:color="CCCCCC" w:sz="1"/>
            </w:tcBorders>
            <w:shd w:fill="E6F4EB" w:val="clear"/>
            <w:tcMar>
              <w:top w:type="dxa" w:w="80"/>
              <w:left w:type="dxa" w:w="120"/>
              <w:bottom w:type="dxa" w:w="80"/>
              <w:right w:type="dxa" w:w="120"/>
            </w:tcMar>
          </w:tcPr>
          <w:p>
            <w:pPr>
              <w:jc w:val="center"/>
            </w:pPr>
            <w:r>
              <w:rPr>
                <w:rFonts w:ascii="Arial" w:cs="Arial" w:eastAsia="Arial" w:hAnsi="Arial"/>
                <w:b/>
                <w:bCs/>
                <w:color w:val="1A7A3A"/>
                <w:sz w:val="19"/>
                <w:szCs w:val="19"/>
              </w:rPr>
              <w:t xml:space="preserve">MEDIUM</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9"/>
                <w:szCs w:val="19"/>
              </w:rPr>
              <w:t xml:space="preserve">Plaid Protect; MFA on account changes; bank re-verification on payout account changes</w:t>
            </w:r>
          </w:p>
        </w:tc>
        <w:tc>
          <w:tcPr>
            <w:tcW w:type="dxa" w:w="2000"/>
            <w:tcBorders>
              <w:top w:val="single" w:color="CCCCCC" w:sz="1"/>
              <w:left w:val="single" w:color="CCCCCC" w:sz="1"/>
              <w:bottom w:val="single" w:color="CCCCCC" w:sz="1"/>
              <w:right w:val="single" w:color="CCCCCC" w:sz="1"/>
            </w:tcBorders>
            <w:shd w:fill="E6F4EB" w:val="clear"/>
            <w:tcMar>
              <w:top w:type="dxa" w:w="80"/>
              <w:left w:type="dxa" w:w="120"/>
              <w:bottom w:type="dxa" w:w="80"/>
              <w:right w:type="dxa" w:w="120"/>
            </w:tcMar>
          </w:tcPr>
          <w:p>
            <w:pPr>
              <w:jc w:val="center"/>
            </w:pPr>
            <w:r>
              <w:rPr>
                <w:rFonts w:ascii="Arial" w:cs="Arial" w:eastAsia="Arial" w:hAnsi="Arial"/>
                <w:b/>
                <w:bCs/>
                <w:color w:val="1A7A3A"/>
                <w:sz w:val="19"/>
                <w:szCs w:val="19"/>
              </w:rPr>
              <w:t xml:space="preserve">LOW</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444444"/>
                <w:sz w:val="19"/>
                <w:szCs w:val="19"/>
              </w:rPr>
              <w:t xml:space="preserve">Regulatory Non-Compliance</w:t>
            </w:r>
          </w:p>
        </w:tc>
        <w:tc>
          <w:tcPr>
            <w:tcW w:type="dxa" w:w="1800"/>
            <w:tcBorders>
              <w:top w:val="single" w:color="CCCCCC" w:sz="1"/>
              <w:left w:val="single" w:color="CCCCCC" w:sz="1"/>
              <w:bottom w:val="single" w:color="CCCCCC" w:sz="1"/>
              <w:right w:val="single" w:color="CCCCCC" w:sz="1"/>
            </w:tcBorders>
            <w:shd w:fill="E6F4EB" w:val="clear"/>
            <w:tcMar>
              <w:top w:type="dxa" w:w="80"/>
              <w:left w:type="dxa" w:w="120"/>
              <w:bottom w:type="dxa" w:w="80"/>
              <w:right w:type="dxa" w:w="120"/>
            </w:tcMar>
          </w:tcPr>
          <w:p>
            <w:pPr>
              <w:jc w:val="center"/>
            </w:pPr>
            <w:r>
              <w:rPr>
                <w:rFonts w:ascii="Arial" w:cs="Arial" w:eastAsia="Arial" w:hAnsi="Arial"/>
                <w:b/>
                <w:bCs/>
                <w:color w:val="1A7A3A"/>
                <w:sz w:val="19"/>
                <w:szCs w:val="19"/>
              </w:rPr>
              <w:t xml:space="preserve">MEDIUM</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9"/>
                <w:szCs w:val="19"/>
              </w:rPr>
              <w:t xml:space="preserve">Designated CCO; annual audit; legal counsel on MTL analysis; this written Program</w:t>
            </w:r>
          </w:p>
        </w:tc>
        <w:tc>
          <w:tcPr>
            <w:tcW w:type="dxa" w:w="2000"/>
            <w:tcBorders>
              <w:top w:val="single" w:color="CCCCCC" w:sz="1"/>
              <w:left w:val="single" w:color="CCCCCC" w:sz="1"/>
              <w:bottom w:val="single" w:color="CCCCCC" w:sz="1"/>
              <w:right w:val="single" w:color="CCCCCC" w:sz="1"/>
            </w:tcBorders>
            <w:shd w:fill="E6F4EB" w:val="clear"/>
            <w:tcMar>
              <w:top w:type="dxa" w:w="80"/>
              <w:left w:type="dxa" w:w="120"/>
              <w:bottom w:type="dxa" w:w="80"/>
              <w:right w:type="dxa" w:w="120"/>
            </w:tcMar>
          </w:tcPr>
          <w:p>
            <w:pPr>
              <w:jc w:val="center"/>
            </w:pPr>
            <w:r>
              <w:rPr>
                <w:rFonts w:ascii="Arial" w:cs="Arial" w:eastAsia="Arial" w:hAnsi="Arial"/>
                <w:b/>
                <w:bCs/>
                <w:color w:val="1A7A3A"/>
                <w:sz w:val="19"/>
                <w:szCs w:val="19"/>
              </w:rPr>
              <w:t xml:space="preserve">LOW</w:t>
            </w:r>
          </w:p>
        </w:tc>
      </w:tr>
    </w:tbl>
    <w:p>
      <w:pPr>
        <w:spacing w:after="120"/>
      </w:pPr>
      <w:r>
        <w:t xml:space="preserve"/>
      </w:r>
    </w:p>
    <w:p>
      <w:pPr>
        <w:pStyle w:val="Heading2"/>
        <w:spacing w:after="120" w:before="240"/>
      </w:pPr>
      <w:r>
        <w:rPr>
          <w:rFonts w:ascii="Arial" w:cs="Arial" w:eastAsia="Arial" w:hAnsi="Arial"/>
          <w:b/>
          <w:bCs/>
          <w:color w:val="C8860A"/>
          <w:sz w:val="24"/>
          <w:szCs w:val="24"/>
        </w:rPr>
        <w:t xml:space="preserve">4.2  Overall Risk Rating</w:t>
      </w:r>
    </w:p>
    <w:p>
      <w:pPr>
        <w:spacing w:after="160" w:before="0"/>
        <w:jc w:val="both"/>
      </w:pPr>
      <w:r>
        <w:rPr>
          <w:rFonts w:ascii="Arial" w:cs="Arial" w:eastAsia="Arial" w:hAnsi="Arial"/>
          <w:b w:val="false"/>
          <w:bCs w:val="false"/>
          <w:color w:val="222222"/>
          <w:sz w:val="21"/>
          <w:szCs w:val="21"/>
        </w:rPr>
        <w:t xml:space="preserve">Based on the foregoing assessment, F33D3R's aggregate AML/CFT risk profile is assessed as LOW TO MODERATE. This is consistent with the risk profile of comparable consumer-facing creator tipping platforms. The Company's primary risk vectors are account-layer fraud and structuring, both of which are addressed by Plaid's infrastructure (Signal, Protect, IDV) and F33D3R's internal monitoring and threshold controls. The platform does not facilitate cross-border remittances, virtual currency, or high-value transactions, which significantly constrains the tail risk of serious money laundering exposure.</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2A4A" w:val="clear"/>
            <w:tcMar>
              <w:top w:type="dxa" w:w="120"/>
              <w:left w:type="dxa" w:w="240"/>
              <w:bottom w:type="dxa" w:w="120"/>
              <w:right w:type="dxa" w:w="240"/>
            </w:tcMar>
          </w:tcPr>
          <w:p>
            <w:r>
              <w:rPr>
                <w:rFonts w:ascii="Arial" w:cs="Arial" w:eastAsia="Arial" w:hAnsi="Arial"/>
                <w:b/>
                <w:bCs/>
                <w:color w:val="FFFFFF"/>
                <w:sz w:val="26"/>
                <w:szCs w:val="26"/>
              </w:rPr>
              <w:t xml:space="preserve">SECTION V — ARIZONA-SPECIFIC OBLIGATIONS &amp; IRS REPORTING</w:t>
            </w:r>
          </w:p>
        </w:tc>
      </w:tr>
    </w:tbl>
    <w:p>
      <w:pPr>
        <w:spacing w:after="120"/>
      </w:pPr>
      <w:r>
        <w:t xml:space="preserve"/>
      </w:r>
    </w:p>
    <w:p>
      <w:pPr>
        <w:pStyle w:val="Heading2"/>
        <w:spacing w:after="120" w:before="240"/>
      </w:pPr>
      <w:r>
        <w:rPr>
          <w:rFonts w:ascii="Arial" w:cs="Arial" w:eastAsia="Arial" w:hAnsi="Arial"/>
          <w:b/>
          <w:bCs/>
          <w:color w:val="C8860A"/>
          <w:sz w:val="24"/>
          <w:szCs w:val="24"/>
        </w:rPr>
        <w:t xml:space="preserve">5.1  Arizona Money Transmitter Analysis</w:t>
      </w:r>
    </w:p>
    <w:p>
      <w:pPr>
        <w:spacing w:after="160" w:before="0"/>
        <w:jc w:val="both"/>
      </w:pPr>
      <w:r>
        <w:rPr>
          <w:rFonts w:ascii="Arial" w:cs="Arial" w:eastAsia="Arial" w:hAnsi="Arial"/>
          <w:b w:val="false"/>
          <w:bCs w:val="false"/>
          <w:color w:val="222222"/>
          <w:sz w:val="21"/>
          <w:szCs w:val="21"/>
        </w:rPr>
        <w:t xml:space="preserve">Under A.R.S. § 6-1207(A), no person may engage in money transmission in Arizona without a license from DIFI or authorization as an agent of a licensed transmitter. "Transmitting money" under A.R.S. § 6-1201(17) includes receiving money for transmission or transmitting money by any means. F33D3R's facilitation of tip fund flows between Supporters and Creators may constitute money transmission under this definition.</w:t>
      </w:r>
    </w:p>
    <w:p>
      <w:pPr>
        <w:spacing w:after="160" w:before="0"/>
        <w:jc w:val="both"/>
      </w:pPr>
      <w:r>
        <w:rPr>
          <w:rFonts w:ascii="Arial" w:cs="Arial" w:eastAsia="Arial" w:hAnsi="Arial"/>
          <w:b w:val="false"/>
          <w:bCs w:val="false"/>
          <w:color w:val="222222"/>
          <w:sz w:val="21"/>
          <w:szCs w:val="21"/>
        </w:rPr>
        <w:t xml:space="preserve">F33D3R has engaged or will engage qualified Arizona legal counsel to render a formal opinion as to whether the Company's business model requires a money transmitter license from DIFI under A.R.S. § 6-1202, and whether any exemptions apply (including the agent-of-licensed-transmitter exemption under A.R.S. § 6-1207(B)(1) by virtue of F33D3R's integration with Plaid Transfer, a FinCEN-registered MSB infrastructure provider). F33D3R represents that it will not process live transactions until any required Arizona licensure is obtained or a written legal opinion confirms an applicable exemption.</w:t>
      </w:r>
    </w:p>
    <w:p>
      <w:pPr>
        <w:pStyle w:val="Heading2"/>
        <w:spacing w:after="120" w:before="240"/>
      </w:pPr>
      <w:r>
        <w:rPr>
          <w:rFonts w:ascii="Arial" w:cs="Arial" w:eastAsia="Arial" w:hAnsi="Arial"/>
          <w:b/>
          <w:bCs/>
          <w:color w:val="C8860A"/>
          <w:sz w:val="24"/>
          <w:szCs w:val="24"/>
        </w:rPr>
        <w:t xml:space="preserve">5.2  IRS Form 1099-K Reporting</w:t>
      </w:r>
    </w:p>
    <w:p>
      <w:pPr>
        <w:spacing w:after="160" w:before="0"/>
        <w:jc w:val="both"/>
      </w:pPr>
      <w:r>
        <w:rPr>
          <w:rFonts w:ascii="Arial" w:cs="Arial" w:eastAsia="Arial" w:hAnsi="Arial"/>
          <w:b w:val="false"/>
          <w:bCs w:val="false"/>
          <w:color w:val="222222"/>
          <w:sz w:val="21"/>
          <w:szCs w:val="21"/>
        </w:rPr>
        <w:t xml:space="preserve">F33D3R will operate as a Third-Party Settlement Organization (TPSO) for IRS reporting purposes under IRC § 6050W where applicable. F33D3R will issue Form 1099-K to any Creator whose aggregate payments exceed the current IRS reporting threshold in any calendar year. All Creators receiving disbursements are required to provide a completed Form W-9 (U.S. persons) or Form W-8BEN/W-8BEN-E (non-U.S. persons) prior to any disbursement. F33D3R will withhold backup withholding tax at the applicable rate for any Creator who fails to provide a valid TIN or whose TIN is subject to IRS B-Notice procedures.</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2A4A" w:val="clear"/>
            <w:tcMar>
              <w:top w:type="dxa" w:w="120"/>
              <w:left w:type="dxa" w:w="240"/>
              <w:bottom w:type="dxa" w:w="120"/>
              <w:right w:type="dxa" w:w="240"/>
            </w:tcMar>
          </w:tcPr>
          <w:p>
            <w:r>
              <w:rPr>
                <w:rFonts w:ascii="Arial" w:cs="Arial" w:eastAsia="Arial" w:hAnsi="Arial"/>
                <w:b/>
                <w:bCs/>
                <w:color w:val="FFFFFF"/>
                <w:sz w:val="26"/>
                <w:szCs w:val="26"/>
              </w:rPr>
              <w:t xml:space="preserve">SECTION VI — PROGRAM GOVERNANCE &amp; MAINTENANCE</w:t>
            </w:r>
          </w:p>
        </w:tc>
      </w:tr>
    </w:tbl>
    <w:p>
      <w:pPr>
        <w:spacing w:after="120"/>
      </w:pPr>
      <w:r>
        <w:t xml:space="preserve"/>
      </w:r>
    </w:p>
    <w:p>
      <w:pPr>
        <w:pStyle w:val="Heading2"/>
        <w:spacing w:after="120" w:before="240"/>
      </w:pPr>
      <w:r>
        <w:rPr>
          <w:rFonts w:ascii="Arial" w:cs="Arial" w:eastAsia="Arial" w:hAnsi="Arial"/>
          <w:b/>
          <w:bCs/>
          <w:color w:val="C8860A"/>
          <w:sz w:val="24"/>
          <w:szCs w:val="24"/>
        </w:rPr>
        <w:t xml:space="preserve">6.1  Board / Senior Management Approval</w:t>
      </w:r>
    </w:p>
    <w:p>
      <w:pPr>
        <w:spacing w:after="160" w:before="0"/>
        <w:jc w:val="both"/>
      </w:pPr>
      <w:r>
        <w:rPr>
          <w:rFonts w:ascii="Arial" w:cs="Arial" w:eastAsia="Arial" w:hAnsi="Arial"/>
          <w:b w:val="false"/>
          <w:bCs w:val="false"/>
          <w:color w:val="222222"/>
          <w:sz w:val="21"/>
          <w:szCs w:val="21"/>
        </w:rPr>
        <w:t xml:space="preserve">This Program has been reviewed and approved by F33D3R's Board of Directors (or, prior to formal board constitution, by the founding management team with equivalent authority). The Program may not be amended in any material respect without senior management approval. Annual reviews and all material amendments are documented with the approving authority's signature and retained permanently.</w:t>
      </w:r>
    </w:p>
    <w:p>
      <w:pPr>
        <w:pStyle w:val="Heading2"/>
        <w:spacing w:after="120" w:before="240"/>
      </w:pPr>
      <w:r>
        <w:rPr>
          <w:rFonts w:ascii="Arial" w:cs="Arial" w:eastAsia="Arial" w:hAnsi="Arial"/>
          <w:b/>
          <w:bCs/>
          <w:color w:val="C8860A"/>
          <w:sz w:val="24"/>
          <w:szCs w:val="24"/>
        </w:rPr>
        <w:t xml:space="preserve">6.2  Vendor &amp; Third-Party Oversight</w:t>
      </w:r>
    </w:p>
    <w:p>
      <w:pPr>
        <w:spacing w:after="160" w:before="0"/>
        <w:jc w:val="both"/>
      </w:pPr>
      <w:r>
        <w:rPr>
          <w:rFonts w:ascii="Arial" w:cs="Arial" w:eastAsia="Arial" w:hAnsi="Arial"/>
          <w:b w:val="false"/>
          <w:bCs w:val="false"/>
          <w:color w:val="222222"/>
          <w:sz w:val="21"/>
          <w:szCs w:val="21"/>
        </w:rPr>
        <w:t xml:space="preserve">F33D3R relies on Plaid, Inc. as its primary financial infrastructure provider for bank account verification (Plaid Link), payment processing (Plaid Transfer — ACH, RTP, FedNow), identity verification (Plaid IDV), and transaction risk scoring (Plaid Signal, Plaid Protect). F33D3R acknowledges that outsourcing payment functions to a third party does not transfer F33D3R's AML obligations. F33D3R retains full BSA/AML accountability for all transactions processed through the Platform.</w:t>
      </w:r>
    </w:p>
    <w:p>
      <w:pPr>
        <w:spacing w:after="160" w:before="0"/>
        <w:jc w:val="both"/>
      </w:pPr>
      <w:r>
        <w:rPr>
          <w:rFonts w:ascii="Arial" w:cs="Arial" w:eastAsia="Arial" w:hAnsi="Arial"/>
          <w:b w:val="false"/>
          <w:bCs w:val="false"/>
          <w:color w:val="222222"/>
          <w:sz w:val="21"/>
          <w:szCs w:val="21"/>
        </w:rPr>
        <w:t xml:space="preserve">F33D3R will maintain a current vendor risk assessment for Plaid and any other material payment or identity service provider, updated annually or upon material changes to the vendor relationship. Vendor assessments will include review of the vendor's own AML program, FinCEN registration status, and relevant certifications.</w:t>
      </w:r>
    </w:p>
    <w:p>
      <w:pPr>
        <w:pStyle w:val="Heading2"/>
        <w:spacing w:after="120" w:before="240"/>
      </w:pPr>
      <w:r>
        <w:rPr>
          <w:rFonts w:ascii="Arial" w:cs="Arial" w:eastAsia="Arial" w:hAnsi="Arial"/>
          <w:b/>
          <w:bCs/>
          <w:color w:val="C8860A"/>
          <w:sz w:val="24"/>
          <w:szCs w:val="24"/>
        </w:rPr>
        <w:t xml:space="preserve">6.3  Annual Program Review Schedule</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20"/>
                <w:szCs w:val="20"/>
              </w:rPr>
              <w:t xml:space="preserve">Review Activity</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20"/>
                <w:szCs w:val="20"/>
              </w:rPr>
              <w:t xml:space="preserve">Frequency / Owner</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20"/>
                <w:szCs w:val="20"/>
              </w:rPr>
              <w:t xml:space="preserve">Full AML Program Review</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20"/>
                <w:szCs w:val="20"/>
              </w:rPr>
              <w:t xml:space="preserve">Annually — Compliance Officer + Legal Counsel</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20"/>
                <w:szCs w:val="20"/>
              </w:rPr>
              <w:t xml:space="preserve">Risk Assessment Update</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20"/>
                <w:szCs w:val="20"/>
              </w:rPr>
              <w:t xml:space="preserve">Annually or upon material business change — CCO</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20"/>
                <w:szCs w:val="20"/>
              </w:rPr>
              <w:t xml:space="preserve">Independent Audit</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20"/>
                <w:szCs w:val="20"/>
              </w:rPr>
              <w:t xml:space="preserve">Annually — Qualified external auditor</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20"/>
                <w:szCs w:val="20"/>
              </w:rPr>
              <w:t xml:space="preserve">Board/Management Report</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20"/>
                <w:szCs w:val="20"/>
              </w:rPr>
              <w:t xml:space="preserve">Annually or upon material incidents — CCO</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20"/>
                <w:szCs w:val="20"/>
              </w:rPr>
              <w:t xml:space="preserve">FinCEN MSB Registration Renewal</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20"/>
                <w:szCs w:val="20"/>
              </w:rPr>
              <w:t xml:space="preserve">Every two (2) years — CCO (Form 107R)</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20"/>
                <w:szCs w:val="20"/>
              </w:rPr>
              <w:t xml:space="preserve">Arizona DIFI License Renewal</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20"/>
                <w:szCs w:val="20"/>
              </w:rPr>
              <w:t xml:space="preserve">Per DIFI schedule — CCO + Legal Counsel</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20"/>
                <w:szCs w:val="20"/>
              </w:rPr>
              <w:t xml:space="preserve">OFAC List Refresh</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20"/>
                <w:szCs w:val="20"/>
              </w:rPr>
              <w:t xml:space="preserve">Continuous / automated — Compliance systems</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20"/>
                <w:szCs w:val="20"/>
              </w:rPr>
              <w:t xml:space="preserve">Training Completion Review</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20"/>
                <w:szCs w:val="20"/>
              </w:rPr>
              <w:t xml:space="preserve">Quarterly — CCO</w:t>
            </w:r>
          </w:p>
        </w:tc>
      </w:tr>
    </w:tbl>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2A4A" w:val="clear"/>
            <w:tcMar>
              <w:top w:type="dxa" w:w="120"/>
              <w:left w:type="dxa" w:w="240"/>
              <w:bottom w:type="dxa" w:w="120"/>
              <w:right w:type="dxa" w:w="240"/>
            </w:tcMar>
          </w:tcPr>
          <w:p>
            <w:r>
              <w:rPr>
                <w:rFonts w:ascii="Arial" w:cs="Arial" w:eastAsia="Arial" w:hAnsi="Arial"/>
                <w:b/>
                <w:bCs/>
                <w:color w:val="FFFFFF"/>
                <w:sz w:val="26"/>
                <w:szCs w:val="26"/>
              </w:rPr>
              <w:t xml:space="preserve">SECTION VII — CERTIFICATIONS &amp; ATTESTATIONS</w:t>
            </w:r>
          </w:p>
        </w:tc>
      </w:tr>
    </w:tbl>
    <w:p>
      <w:pPr>
        <w:spacing w:after="120"/>
      </w:pPr>
      <w:r>
        <w:t xml:space="preserve"/>
      </w:r>
    </w:p>
    <w:p>
      <w:pPr>
        <w:spacing w:after="160" w:before="0"/>
        <w:jc w:val="both"/>
      </w:pPr>
      <w:r>
        <w:rPr>
          <w:rFonts w:ascii="Arial" w:cs="Arial" w:eastAsia="Arial" w:hAnsi="Arial"/>
          <w:b w:val="false"/>
          <w:bCs w:val="false"/>
          <w:color w:val="222222"/>
          <w:sz w:val="21"/>
          <w:szCs w:val="21"/>
        </w:rPr>
        <w:t xml:space="preserve">The undersigned hereby certify that they have reviewed this Anti-Money Laundering Compliance Program, that it accurately reflects the policies and procedures of F33D3R, Inc. as of the effective date stated on the cover, and that F33D3R is committed to implementing, maintaining, and continuously improving this Program in compliance with applicable federal and state law.</w:t>
      </w:r>
    </w:p>
    <w:p>
      <w:pPr>
        <w:spacing w:after="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20"/>
                <w:szCs w:val="20"/>
              </w:rPr>
              <w:t xml:space="preserve">Authorized Signatory</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20"/>
                <w:szCs w:val="20"/>
              </w:rPr>
              <w:t xml:space="preserve"/>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20"/>
                <w:szCs w:val="20"/>
              </w:rPr>
              <w:t xml:space="preserve">Name</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20"/>
                <w:szCs w:val="20"/>
              </w:rPr>
              <w:t xml:space="preserve"/>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20"/>
                <w:szCs w:val="20"/>
              </w:rPr>
              <w:t xml:space="preserve">Title</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20"/>
                <w:szCs w:val="20"/>
              </w:rPr>
              <w:t xml:space="preserve">Founder / Chief Executive Officer</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20"/>
                <w:szCs w:val="20"/>
              </w:rPr>
              <w:t xml:space="preserve">Date</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20"/>
                <w:szCs w:val="20"/>
              </w:rPr>
              <w:t xml:space="preserve">May 12, 2026</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20"/>
                <w:szCs w:val="20"/>
              </w:rPr>
              <w:t xml:space="preserve"/>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20"/>
                <w:szCs w:val="20"/>
              </w:rPr>
              <w:t xml:space="preserve"/>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20"/>
                <w:szCs w:val="20"/>
              </w:rPr>
              <w:t xml:space="preserve">Compliance Officer (or Designee)</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20"/>
                <w:szCs w:val="20"/>
              </w:rPr>
              <w:t xml:space="preserve"/>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20"/>
                <w:szCs w:val="20"/>
              </w:rPr>
              <w:t xml:space="preserve">Name</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20"/>
                <w:szCs w:val="20"/>
              </w:rPr>
              <w:t xml:space="preserve">[To Be Designated]</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20"/>
                <w:szCs w:val="20"/>
              </w:rPr>
              <w:t xml:space="preserve">Title</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20"/>
                <w:szCs w:val="20"/>
              </w:rPr>
              <w:t xml:space="preserve">Chief Compliance Officer</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20"/>
                <w:szCs w:val="20"/>
              </w:rPr>
              <w:t xml:space="preserve">Date</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20"/>
                <w:szCs w:val="20"/>
              </w:rPr>
              <w:t xml:space="preserve"/>
            </w:r>
          </w:p>
        </w:tc>
      </w:tr>
    </w:tbl>
    <w:p>
      <w:pPr>
        <w:spacing w:after="160"/>
      </w:pPr>
      <w:r>
        <w:t xml:space="preserve"/>
      </w:r>
    </w:p>
    <w:p>
      <w:pPr>
        <w:spacing w:after="160" w:before="0"/>
        <w:jc w:val="both"/>
      </w:pPr>
      <w:r>
        <w:rPr>
          <w:rFonts w:ascii="Arial" w:cs="Arial" w:eastAsia="Arial" w:hAnsi="Arial"/>
          <w:b w:val="false"/>
          <w:bCs w:val="false"/>
          <w:color w:val="222222"/>
          <w:sz w:val="21"/>
          <w:szCs w:val="21"/>
        </w:rPr>
        <w:t xml:space="preserve">This document is confidential and proprietary to F33D3R, Inc. It is submitted to Plaid, Inc. for underwriting purposes and may also be provided to FinCEN, the Arizona Department of Insurance and Financial Institutions (DIFI), and other regulatory bodies upon request. Unauthorized disclosure is prohibited.</w:t>
      </w:r>
    </w:p>
    <w:p>
      <w:pPr>
        <w:spacing w:after="80"/>
      </w:pPr>
      <w:r>
        <w:t xml:space="preserve"/>
      </w:r>
    </w:p>
    <w:p>
      <w:pPr>
        <w:pBdr>
          <w:bottom w:val="single" w:color="C8860A" w:sz="8" w:space="1"/>
        </w:pBdr>
        <w:spacing w:after="160"/>
      </w:pPr>
    </w:p>
    <w:p>
      <w:pPr>
        <w:spacing w:after="160" w:before="0"/>
        <w:jc w:val="center"/>
      </w:pPr>
      <w:r>
        <w:rPr>
          <w:rFonts w:ascii="Arial" w:cs="Arial" w:eastAsia="Arial" w:hAnsi="Arial"/>
          <w:b w:val="false"/>
          <w:bCs w:val="false"/>
          <w:color w:val="222222"/>
          <w:sz w:val="21"/>
          <w:szCs w:val="21"/>
        </w:rPr>
        <w:t xml:space="preserve">F33D3R, Inc.  |  f33d3r.com  |  Maricopa County, Arizona  |  AML Policy v1.0 — May 12, 2026</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8"/>
        <w:szCs w:val="18"/>
      </w:rPr>
      <w:t xml:space="preserve">F33D3R, Inc.  |  AML Compliance Program v1.0  |  CONFIDENTIAL  |  Page </w:t>
    </w:r>
    <w:r>
      <w:rPr>
        <w:rFonts w:ascii="Arial" w:cs="Arial" w:eastAsia="Arial" w:hAnsi="Arial"/>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1B2A4A"/>
      <w:sz w:val="28"/>
      <w:szCs w:val="28"/>
    </w:rPr>
  </w:style>
  <w:style w:type="paragraph" w:styleId="Heading2">
    <w:name w:val="Heading 2"/>
    <w:basedOn w:val="Normal"/>
    <w:next w:val="Normal"/>
    <w:qFormat/>
    <w:pPr>
      <w:spacing w:after="120" w:before="240"/>
      <w:outlineLvl w:val="1"/>
    </w:pPr>
    <w:rPr>
      <w:rFonts w:ascii="Arial" w:cs="Arial" w:eastAsia="Arial" w:hAnsi="Arial"/>
      <w:b/>
      <w:bCs/>
      <w:color w:val="C8860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2026-05-13T05:16:14.853Z</dcterms:created>
  <dcterms:modified xsi:type="dcterms:W3CDTF">2026-05-13T05:16:14.853Z</dcterms:modified>
</cp:coreProperties>
</file>

<file path=docProps/custom.xml><?xml version="1.0" encoding="utf-8"?>
<Properties xmlns="http://schemas.openxmlformats.org/officeDocument/2006/custom-properties" xmlns:vt="http://schemas.openxmlformats.org/officeDocument/2006/docPropsVTypes"/>
</file>